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by certain entities of state and federal immigration laws with respect to persons younger than 18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2.251,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is not required to perform a duty imposed by Subsection (a) with respect to a person who is younger than 18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752.053(b),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2.12,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w:t>
      </w:r>
      <w:r>
        <w:rPr>
          <w:u w:val="single"/>
        </w:rPr>
        <w:t xml:space="preserve">who is 18 years of age or older and is</w:t>
      </w:r>
      <w:r>
        <w:t xml:space="preserve">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w:t>
      </w:r>
      <w:r>
        <w:rPr>
          <w:u w:val="single"/>
        </w:rPr>
        <w:t xml:space="preserve">who is 18 years of age or older and is</w:t>
      </w:r>
      <w:r>
        <w:t xml:space="preserve">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39.07, Penal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exception to the application of this section that the person who was subject to an immigration detainer request described by Subsection (a)(1) was, at the time the detainer request was received,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in amending Section 39.07, Penal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