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severance payment to a superintendent or administrator serving as educational leader and chief executive officer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12.104, Education Code, is amended by adding Subsection (b-4) to read as follows: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Section 11.201(c) applies to an open-enrollment charter school as though the governing body of the school were the board of trustees of a school district and to the superintendent or, as applicable, the administrator serving as educational leader and chief executive officer of the school as though that person were the superintendent of a school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12.104(b-4), Education Code, as added by this Act, applies only to a severance payment made by the governing body of an open-enrollment charter school to a superintendent or administrator serving as educational leader and chief executive officer of the school under an agreement entered into on or after the effective date of this Act. </w:t>
      </w:r>
      <w:r>
        <w:t xml:space="preserve"> </w:t>
      </w:r>
      <w:r>
        <w:t xml:space="preserve">A severance payment made by the governing body of an open-enrollment charter school to a superintendent or administrator serving as educational leader and chief executive officer of the school under an agreement entered into before the effective date of this Act is governed by the law in effect at the time the agreement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