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87R1121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housing discrimination on the basis of sexual orientation or gender identity or expression and to the enforcement of that prohibition.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301.003, Property Code, is amended by amending Subdivision (6) and adding Subdivisions (9-a)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person's assigned sex at birth.</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the actual or perceived status of a person with respect to the person's sexuality.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u w:val="single"/>
        </w:rPr>
        <w:t xml:space="preserve">sex, disability, familial status,</w:t>
      </w:r>
      <w:r>
        <w:t xml:space="preserve">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expression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 complaint filed with the Texas Workforce Commission civil rights division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