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migrant labor housing facilities; changing the amount of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LL, Chapter 2306, Government Code, is amended by amending Section 2306.933 and adding Sections 2306.934 and 2306.935 to read as follows:</w:t>
      </w:r>
    </w:p>
    <w:p w:rsidR="003F3435" w:rsidRDefault="0032493E">
      <w:pPr>
        <w:spacing w:line="480" w:lineRule="auto"/>
        <w:ind w:firstLine="720"/>
        <w:jc w:val="both"/>
      </w:pPr>
      <w:r>
        <w:t xml:space="preserve">Sec.</w:t>
      </w:r>
      <w:r xml:space="preserve">
        <w:t> </w:t>
      </w:r>
      <w:r>
        <w:t xml:space="preserve">2306.933.</w:t>
      </w:r>
      <w:r xml:space="preserve">
        <w:t> </w:t>
      </w:r>
      <w:r xml:space="preserve">
        <w:t> </w:t>
      </w:r>
      <w:r>
        <w:t xml:space="preserve">CIVIL PENALTY. </w:t>
      </w:r>
      <w:r>
        <w:t xml:space="preserve"> </w:t>
      </w:r>
      <w:r>
        <w:t xml:space="preserve">(a) </w:t>
      </w:r>
      <w:r>
        <w:t xml:space="preserve"> </w:t>
      </w:r>
      <w:r>
        <w:t xml:space="preserve">A person who violates this subchapter or a rule adopted under this subchapter is subject to a civil penalty of </w:t>
      </w:r>
      <w:r>
        <w:rPr>
          <w:u w:val="single"/>
        </w:rPr>
        <w:t xml:space="preserve">not less than $50 for each person occupying the migrant labor housing facility in violation of this subchapter</w:t>
      </w:r>
      <w:r>
        <w:t xml:space="preserve"> [</w:t>
      </w:r>
      <w:r>
        <w:rPr>
          <w:strike/>
        </w:rPr>
        <w:t xml:space="preserve">$200</w:t>
      </w:r>
      <w:r>
        <w:t xml:space="preserve">] for each day that the violation occurs.</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The county attorney for the county in which the violation occurred, or the attorney general, at the request of the department, shall bring an</w:t>
      </w:r>
      <w:r>
        <w:t xml:space="preserve">] action [</w:t>
      </w:r>
      <w:r>
        <w:rPr>
          <w:strike/>
        </w:rPr>
        <w:t xml:space="preserve">in the name of the state</w:t>
      </w:r>
      <w:r>
        <w:t xml:space="preserve">] to collect </w:t>
      </w:r>
      <w:r>
        <w:rPr>
          <w:u w:val="single"/>
        </w:rPr>
        <w:t xml:space="preserve">a</w:t>
      </w:r>
      <w:r>
        <w:t xml:space="preserve"> [</w:t>
      </w:r>
      <w:r>
        <w:rPr>
          <w:strike/>
        </w:rPr>
        <w:t xml:space="preserve">the</w:t>
      </w:r>
      <w:r>
        <w:t xml:space="preserve">] penalty </w:t>
      </w:r>
      <w:r>
        <w:rPr>
          <w:u w:val="single"/>
        </w:rPr>
        <w:t xml:space="preserve">under this section may be brought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through the contested case hearing process described by Section 2306.930(b);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attorney for the county in which the violation occurred, or the attorney general, at the request of the department;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migrant agricultural worker who, at the time of the violation, lived in the migrant labor housing facility that is the subject of the violation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shall adopt a penalty schedule that increases the amount of the penalty assessed against a person who repeatedly violates this subchapter or rules adopted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penalty collected under Subsection (b)(1) or (2) shall be deposited to the credit of the general revenue fund and may be appropriated only to the department for the enforcement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2306.934.</w:t>
      </w:r>
      <w:r>
        <w:rPr>
          <w:u w:val="single"/>
        </w:rPr>
        <w:t xml:space="preserve"> </w:t>
      </w:r>
      <w:r>
        <w:rPr>
          <w:u w:val="single"/>
        </w:rPr>
        <w:t xml:space="preserve"> </w:t>
      </w:r>
      <w:r>
        <w:rPr>
          <w:u w:val="single"/>
        </w:rPr>
        <w:t xml:space="preserve">RETALIATION PROHIBITED.  A person who owns, establishes, maintains, operates, or otherwise provides a migrant labor housing facility, a person who employs a migrant agricultural worker who occupies a migrant labor housing facility, or a farm labor contractor may not retaliate against a person for filing a complaint or providing information in good faith relating to a possible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2306.935.</w:t>
      </w:r>
      <w:r>
        <w:rPr>
          <w:u w:val="single"/>
        </w:rPr>
        <w:t xml:space="preserve"> </w:t>
      </w:r>
      <w:r>
        <w:rPr>
          <w:u w:val="single"/>
        </w:rPr>
        <w:t xml:space="preserve"> </w:t>
      </w:r>
      <w:r>
        <w:rPr>
          <w:u w:val="single"/>
        </w:rPr>
        <w:t xml:space="preserve">ATTORNEY'S FEES. The court in a suit brought under this subchapter may award reasonable attorney's fees to the prevailing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March 1, 2022, the Texas Department of Housing and Community Affairs shall adopt the rules necessary to implement Subchapter LL, Chapter 2306,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in amending Section 2306.933, Government Code, and adding Section 2306.935, Government Code, applies only to a violation that occurs on or after the effective date of this Act. A violation that occurs before the effective date of this Act is governed by the law in effect on the date the violation occurred, and the former law is continued in effect for that purpose. For purposes of this section, a violation occurs before the effective date of this Act if any element of the violation occurs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