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87R22655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Bonnen, Patterson, et al.</w:t>
      </w:r>
      <w:r xml:space="preserve">
        <w:tab wTab="150" tlc="none" cTlc="0"/>
      </w:r>
      <w:r>
        <w:t xml:space="preserve">H.B.</w:t>
      </w:r>
      <w:r xml:space="preserve">
        <w:t> </w:t>
      </w:r>
      <w:r>
        <w:t xml:space="preserve">No.</w:t>
      </w:r>
      <w:r xml:space="preserve">
        <w:t> </w:t>
      </w:r>
      <w:r>
        <w:t xml:space="preserve">204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districts and open-enrollment charter schools providing panic alert devices in classrooms.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Alyssa's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Sections 37.116 and 37.117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37.116.</w:t>
      </w:r>
      <w:r>
        <w:rPr>
          <w:u w:val="single"/>
        </w:rPr>
        <w:t xml:space="preserve"> </w:t>
      </w:r>
      <w:r>
        <w:rPr>
          <w:u w:val="single"/>
        </w:rPr>
        <w:t xml:space="preserve"> </w:t>
      </w:r>
      <w:r>
        <w:rPr>
          <w:u w:val="single"/>
        </w:rPr>
        <w:t xml:space="preserve">PANIC ALERT DEVICE.  (a) </w:t>
      </w:r>
      <w:r>
        <w:rPr>
          <w:u w:val="single"/>
        </w:rPr>
        <w:t xml:space="preserve"> </w:t>
      </w:r>
      <w:r>
        <w:rPr>
          <w:u w:val="single"/>
        </w:rPr>
        <w:t xml:space="preserve">Except as provided by Section 37.117, each school district and open-enrollment charter school shall provide each classroom in the district or school with a panic alert device that allows for immediate contact with district emergency services or emergency services agencies, law enforcement agencies, health departments, and fire departments.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panic alert device provided by a school district or open-enrollment charter school under this section does not satisfy the requirement under Section 37.108(a)(2) for the district or school to ensure employees have classroom access to a telephone or another electronic communication device.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comply with this section, a school district or open-enrollment charter school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funds provided to the district or school through the school safety allotment under Section 42.168 or other available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district's or school's customary procurement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37.117.</w:t>
      </w:r>
      <w:r>
        <w:rPr>
          <w:u w:val="single"/>
        </w:rPr>
        <w:t xml:space="preserve"> </w:t>
      </w:r>
      <w:r>
        <w:rPr>
          <w:u w:val="single"/>
        </w:rPr>
        <w:t xml:space="preserve"> </w:t>
      </w:r>
      <w:r>
        <w:rPr>
          <w:u w:val="single"/>
        </w:rPr>
        <w:t xml:space="preserve">PANIC ALERT DEVICE OPT-OUT RESOLUTION.  The board of trustees of a school district or the governing body of an open-enrollment charter school may elect not to provide panic alert devices as required by Section 37.116 if the board or governing body determines that the district or school does not have sufficient money available to provide the devices. An election made under this section must be authorized by a resolution adopted by majority vote of the board or governing body in an open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