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sales and use taxes on e-cigarette vapor products to benefit the child health plan program; imposing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E-CIGARETTE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nicotine liquid solution or other material containing nicotine suitable for use in an e-cigarette.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E-CIGARETTE VAPOR PRODUCT SALES TAX.  (a)  A tax is imposed on each sale of a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  The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E-CIGARETTE VAPOR PRODUCT USE TAX.  (a) </w:t>
      </w:r>
      <w:r>
        <w:rPr>
          <w:u w:val="single"/>
        </w:rPr>
        <w:t xml:space="preserve"> </w:t>
      </w:r>
      <w:r>
        <w:rPr>
          <w:u w:val="single"/>
        </w:rPr>
        <w:t xml:space="preserve">A tax is imposed on the storage, use, or other consumption in this state of a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  The tax imposed under this section does not apply to the storage, use, or other consumption of a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volume of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volume of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164.0006.</w:t>
      </w:r>
      <w:r>
        <w:rPr>
          <w:u w:val="single"/>
        </w:rPr>
        <w:t xml:space="preserve"> </w:t>
      </w:r>
      <w:r>
        <w:rPr>
          <w:u w:val="single"/>
        </w:rPr>
        <w:t xml:space="preserve"> </w:t>
      </w:r>
      <w:r>
        <w:rPr>
          <w:u w:val="single"/>
        </w:rPr>
        <w:t xml:space="preserve">RECORDS.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vapor products sold in this state during each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vapor products, including the constituent parts of vapor products, purchased from every source during each reporting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164.0007.</w:t>
      </w:r>
      <w:r>
        <w:rPr>
          <w:u w:val="single"/>
        </w:rPr>
        <w:t xml:space="preserve"> </w:t>
      </w:r>
      <w:r>
        <w:rPr>
          <w:u w:val="single"/>
        </w:rPr>
        <w:t xml:space="preserve"> </w:t>
      </w:r>
      <w:r>
        <w:rPr>
          <w:u w:val="single"/>
        </w:rPr>
        <w:t xml:space="preserve">DISPOSITION AND USE OF PROCEEDS.  The comptroller shall deposit the proceeds from taxes imposed under this chapter in the general revenue fund. The proceeds may be appropriated only to the Health and Human Services Commission for the purpose of providing health benefits coverage under the child health plan program established under Chapter 62,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