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222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liability of burn bosses in connection with certain prescribed burns.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153, Natural Resources Code, is amended by adding Section 153.084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153.084.</w:t>
      </w:r>
      <w:r>
        <w:rPr>
          <w:u w:val="single"/>
        </w:rPr>
        <w:t xml:space="preserve"> </w:t>
      </w:r>
      <w:r>
        <w:rPr>
          <w:u w:val="single"/>
        </w:rPr>
        <w:t xml:space="preserve"> </w:t>
      </w:r>
      <w:r>
        <w:rPr>
          <w:u w:val="single"/>
        </w:rPr>
        <w:t xml:space="preserve">LIMITATION OF BURN BOSS LIABILITY.  (a)  In this section, "burn boss"</w:t>
      </w:r>
      <w:r>
        <w:rPr>
          <w:u w:val="single"/>
        </w:rPr>
        <w:t xml:space="preserve"> </w:t>
      </w:r>
      <w:r>
        <w:rPr>
          <w:u w:val="single"/>
        </w:rPr>
        <w:t xml:space="preserve">has the meaning assigned by Section 153.083.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burn boss is not liable for property damage, personal injury, or death caused by or resulting from the burn in excess of the insurance requirements established by the board for certified and insured prescribed burn managers under Section 153.046 if the burn boss: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completed an accredited prescribed burning training course approved by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satisfied the minimum experience requirements prescribed by the board;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liability insurance coverage equal to or in excess of the amounts provided by Section 153.082(1).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 burn boss who commits gross negligence or intentionally causes property damage, personal injury, or death.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153.084, Natural Resources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222 was passed by the House on April 16, 2021, by the following vote:</w:t>
      </w:r>
      <w:r xml:space="preserve">
        <w:t> </w:t>
      </w:r>
      <w:r xml:space="preserve">
        <w:t> </w:t>
      </w:r>
      <w:r>
        <w:t xml:space="preserve">Yeas 144,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222 was passed by the Senate on May 27,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