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87R1405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223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unlawful possession of a firearm by persons convicted of certain misdemeanor offenses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46.04(b) and (d), Penal Code, are amended to read as follows:</w:t>
      </w:r>
    </w:p>
    <w:p w:rsidR="003F3435" w:rsidRDefault="0032493E">
      <w:pPr>
        <w:spacing w:line="480" w:lineRule="auto"/>
        <w:ind w:firstLine="720"/>
        <w:jc w:val="both"/>
      </w:pPr>
      <w:r>
        <w:t xml:space="preserve">(b)</w:t>
      </w:r>
      <w:r xml:space="preserve">
        <w:t> </w:t>
      </w:r>
      <w:r xml:space="preserve">
        <w:t> </w:t>
      </w:r>
      <w:r>
        <w:t xml:space="preserve">A person who has been convicted of an offense under Section 22.01, punishable as a Class A misdemeanor and involving a member of the person's family or household, </w:t>
      </w:r>
      <w:r>
        <w:rPr>
          <w:u w:val="single"/>
        </w:rPr>
        <w:t xml:space="preserve">or of a violent misdemeanor</w:t>
      </w:r>
      <w:r>
        <w:t xml:space="preserve"> commits an offense if the person possesses a firearm before the fifth anniversary of the later of:</w:t>
      </w:r>
    </w:p>
    <w:p w:rsidR="003F3435" w:rsidRDefault="0032493E">
      <w:pPr>
        <w:spacing w:line="480" w:lineRule="auto"/>
        <w:ind w:firstLine="1440"/>
        <w:jc w:val="both"/>
      </w:pPr>
      <w:r>
        <w:t xml:space="preserve">(1)</w:t>
      </w:r>
      <w:r xml:space="preserve">
        <w:t> </w:t>
      </w:r>
      <w:r xml:space="preserve">
        <w:t> </w:t>
      </w:r>
      <w:r>
        <w:t xml:space="preserve">the date of the person's release from confinement following conviction of the misdemeanor; or</w:t>
      </w:r>
    </w:p>
    <w:p w:rsidR="003F3435" w:rsidRDefault="0032493E">
      <w:pPr>
        <w:spacing w:line="480" w:lineRule="auto"/>
        <w:ind w:firstLine="1440"/>
        <w:jc w:val="both"/>
      </w:pPr>
      <w:r>
        <w:t xml:space="preserve">(2)</w:t>
      </w:r>
      <w:r xml:space="preserve">
        <w:t> </w:t>
      </w:r>
      <w:r xml:space="preserve">
        <w:t> </w:t>
      </w:r>
      <w:r>
        <w:t xml:space="preserve">the date of the person's release from community supervision following conviction of the misdemeanor.</w:t>
      </w:r>
    </w:p>
    <w:p w:rsidR="003F3435" w:rsidRDefault="0032493E">
      <w:pPr>
        <w:spacing w:line="480" w:lineRule="auto"/>
        <w:ind w:firstLine="720"/>
        <w:jc w:val="both"/>
      </w:pPr>
      <w:r>
        <w:t xml:space="preserve">(d)</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w:t>
      </w:r>
      <w:r>
        <w:t xml:space="preserve">[</w:t>
      </w:r>
      <w:r>
        <w:rPr>
          <w:strike/>
        </w:rPr>
        <w:t xml:space="preserve">, "family,"</w:t>
      </w:r>
      <w:r>
        <w:t xml:space="preserve">] "household," and "member of a household" have the meanings assigned by Chapter 71,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"Violent misdemeanor" means an offense under the laws of this state that is punishable as a misdemeanor and that has as an element the use, attempted use, or threatened use of force against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