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transfer of an assault weapon to certain recipients;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to read as follows:</w:t>
      </w:r>
    </w:p>
    <w:p w:rsidR="003F3435" w:rsidRDefault="0032493E">
      <w:pPr>
        <w:spacing w:line="480" w:lineRule="auto"/>
        <w:ind w:firstLine="720"/>
        <w:jc w:val="both"/>
      </w:pPr>
      <w:r>
        <w:t xml:space="preserve">Sec.</w:t>
      </w:r>
      <w:r xml:space="preserve">
        <w:t> </w:t>
      </w:r>
      <w:r>
        <w:t xml:space="preserve">46.06.</w:t>
      </w:r>
      <w:r xml:space="preserve">
        <w:t> </w:t>
      </w:r>
      <w:r xml:space="preserve">
        <w:t> </w:t>
      </w:r>
      <w:r>
        <w:t xml:space="preserve">UNLAWFUL TRANSFER OF CERTAIN WEAPONS.  (a)  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t>
      </w:r>
      <w:r>
        <w:t xml:space="preserve"> [</w:t>
      </w:r>
      <w:r>
        <w:rPr>
          <w:strike/>
        </w:rPr>
        <w:t xml:space="preserve">to any child younger than 18 years of age any firearm,</w:t>
      </w:r>
      <w:r>
        <w:t xml:space="preserve">] club, [</w:t>
      </w:r>
      <w:r>
        <w:rPr>
          <w:strike/>
        </w:rPr>
        <w:t xml:space="preserve">or</w:t>
      </w:r>
      <w:r>
        <w:t xml:space="preserve">] location-restricted knife</w:t>
      </w:r>
      <w:r>
        <w:rPr>
          <w:u w:val="single"/>
        </w:rPr>
        <w:t xml:space="preserve">, or firearm other than an assault weapon to a child younger than 18 years of 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to a person younger than 21 years of age</w:t>
      </w:r>
      <w:r>
        <w:t xml:space="preserv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or</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"Intoxicated" means substantial impairment of mental or physical capacity resulting from introduction of any substance into the body.</w:t>
      </w:r>
    </w:p>
    <w:p w:rsidR="003F3435" w:rsidRDefault="0032493E">
      <w:pPr>
        <w:spacing w:line="480" w:lineRule="auto"/>
        <w:ind w:firstLine="1440"/>
        <w:jc w:val="both"/>
      </w:pPr>
      <w:r>
        <w:t xml:space="preserve">(2)</w:t>
      </w:r>
      <w:r xml:space="preserve">
        <w:t> </w:t>
      </w:r>
      <w:r xml:space="preserve">
        <w:t> </w:t>
      </w:r>
      <w:r>
        <w:t xml:space="preserve">"Active protective order" means a protective order issued under Title 4, Family Code, that is in effect.  The term does not include a temporary protective order issued before the court holds a hearing on the matter.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"Assault weapon"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semiautomatic centerfire rifle that has the capacity to accept a detachable magazine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pistol grip that protrudes conspicuously beneath the action of the firearm;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folding or telescoping stock;</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thumbhole stock;</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flash suppressor;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grenade launcher or flare launcher;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semiautomatic centerfire rifle that has a fixed magazine that holds more than 10 rounds of ammunition;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semiautomatic centerfire rifle that has an overall length of less than 30 inches;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semiautomatic shotgun that has the capacity to accept a detachable magazine;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semiautomatic shotgun that has a folding or telescoping stock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thumbhole stock;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semiautomatic pistol that has the capacity to accept a detachable magazine and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ammunition magazine that attaches to the pistol outside of the pistol grip;</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threaded barrel capable of accepting a flash suppressor, forward handgrip, or silencer;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shroud that is attached to or partially or completely encircles the barrel and that permits the shooter to hold the firearm with the non-trigger hand without being burned;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semiautomatic pistol that has a fixed magazine that holds more than 10 rounds of ammunition;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revolving cylinder shotgun;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conversion kit, part, or combination of parts from which an assault weapon can be assembled or with which a firearm may be converted into a weapon described by Paragraph (A), (B), (C), (D), (E), (F), (G), or (H).</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(a)(2)(A)</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Subsection (a)(2)(B) that the transfer of the assault weapon is necessary for the actual discharge of the recipient's official duties as a member of the armed forces or state military forces, as defined by Section 437.001, Government Code.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w:t>
      </w:r>
      <w:r>
        <w:rPr>
          <w:u w:val="single"/>
        </w:rPr>
        <w:t xml:space="preserve">(a)(2)(A)</w:t>
      </w:r>
      <w:r>
        <w:t xml:space="preserve"> [</w:t>
      </w:r>
      <w:r>
        <w:rPr>
          <w:strike/>
        </w:rPr>
        <w:t xml:space="preserve">(a)(2)</w:t>
      </w:r>
      <w:r>
        <w:t xml:space="preserve">]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(a)(2)(B)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