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234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criminal offense for the unlawful possession or transfer of a large-capacity magazine.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46, Penal Code, is amended by adding Section 46.056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46.056.</w:t>
      </w:r>
      <w:r>
        <w:rPr>
          <w:u w:val="single"/>
        </w:rPr>
        <w:t xml:space="preserve"> </w:t>
      </w:r>
      <w:r>
        <w:rPr>
          <w:u w:val="single"/>
        </w:rPr>
        <w:t xml:space="preserve"> </w:t>
      </w:r>
      <w:r>
        <w:rPr>
          <w:u w:val="single"/>
        </w:rPr>
        <w:t xml:space="preserve">UNLAWFUL POSSESSION OR TRANSFER OF LARGE-CAPACITY MAGAZINE. (a) In this section, "large-capacity magazine" means a detachable ammunition feeding device that has the capacity to accept, or can be readily converted to accept, more than 10 rounds.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possesses a large-capacity magazine;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sells, rents, leases, loans, gives, or otherwise transfers a large-capacity magazine to another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 defense to prosecution under this section that the actor engaged in the conduct while engaged in the actual discharge of official duties, or directly en route to or from the person's place of  assignment,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armed forces or state military forces as defined by Section 431.001,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