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242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Texas Commission on Environmental Quality to require water pollution abatement plans from certain facilities regulated by the Railroad Commission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26, Water Code, is amended by adding Section 26.0462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26.0462.</w:t>
      </w:r>
      <w:r>
        <w:rPr>
          <w:u w:val="single"/>
        </w:rPr>
        <w:t xml:space="preserve"> </w:t>
      </w:r>
      <w:r>
        <w:rPr>
          <w:u w:val="single"/>
        </w:rPr>
        <w:t xml:space="preserve"> </w:t>
      </w:r>
      <w:r>
        <w:rPr>
          <w:u w:val="single"/>
        </w:rPr>
        <w:t xml:space="preserve">EDWARDS AQUIFER PLANS ASSOCIATED WITH OIL, GAS, OR GEOTHERMAL RESOURCES.  Notwithstanding another provision of this </w:t>
      </w:r>
      <w:r>
        <w:rPr>
          <w:u w:val="single"/>
        </w:rPr>
        <w:t xml:space="preserve">chapter or a provision of the Natural Resources Code, the commission may require the owner or operator of a facility used in connection with an activity that is associated with the exploration, development, or production of oil, gas, or geothermal resources and regulated by the Railroad Commission of Texas to submit to the commission a water pollution abatement plan for the facility if the facility is located in the recharge zone of the Edwards Aquifer, as defined by commission rule.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