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87R2889 MWC-F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El Paso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establishment of a grant program for promoting computer science certification and professional development in coding, technology applications, and computer science for public school teachers.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J, Chapter 21, Education Code, is amended by adding Section 21.466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21.466.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COMPUTER SCIENCE AND TECHNOLOGY APPLICATIONS PROFESSIONAL DEVELOPMENT GRANT PROGRAM.  (a)  In this section, "institution of higher education" has the meaning assigned by Section 61.003.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shall establish a competitive professional development grant program to encourage teachers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obtain computer science certification;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continue professional development in coding, computational thinking, and computer science education.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From money appropriated for the purpose, the commissioner shall make grants to eligible providers that offer: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professional development for elementary school and middle and junior high school teachers to ensure teachers maintain a working knowledge of current computer industry standard tools and resources;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training for computer science certification for teachers in accordance with certification requirements adopted by the State Board for Educator Certification.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be eligible to receive a grant under this section, a provider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an institution of higher education, regional education service center, or school district or partnership of multiple school districts or a nonprofit entity approved by the commissioner that has demonstrated experience in providing professional development through a statewide network;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 eligibility standards established by commissioner rule.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eligible provider receiving a grant under this section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the training or professional development described by Subsection (c) and establish professional development hubs in each education service center region;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serve high-need campuses;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have established partnerships with institution of higher education faculty with expertise in computing and computer science education;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 partnerships with computer industry professionals.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total amount of grants awarded under this section for a state fiscal biennium may not exceed $4 million.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may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31, 2021, the commissioner of education shall establish the grant program required under Section 21.466, Education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