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improper relationship between educator and student.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21.01(2), Penal Code, is amended to read as follows:</w:t>
      </w:r>
    </w:p>
    <w:p w:rsidR="003F3435" w:rsidRDefault="0032493E">
      <w:pPr>
        <w:spacing w:line="480" w:lineRule="auto"/>
        <w:ind w:firstLine="1440"/>
        <w:jc w:val="both"/>
      </w:pPr>
      <w:r>
        <w:t xml:space="preserve">(2)</w:t>
      </w:r>
      <w:r xml:space="preserve">
        <w:t> </w:t>
      </w:r>
      <w:r xml:space="preserve">
        <w:t> </w:t>
      </w:r>
      <w:r>
        <w:t xml:space="preserve">"Sexual contact" means, except as provided by Section 21.11 </w:t>
      </w:r>
      <w:r>
        <w:rPr>
          <w:u w:val="single"/>
        </w:rPr>
        <w:t xml:space="preserve">or 21.12</w:t>
      </w:r>
      <w:r>
        <w:t xml:space="preserve">, any touching of the anus, breast, or any part of the genitals of another person with intent to arouse or gratify the sexual desire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21.12, Penal Code, is amended by adding Subsections (d-1) and (e)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Except as otherwise provided by this subsection, a public or private primary or secondary school, or a person or entity that operates a public or private primary or secondary school, may not release externally to the general public the name of an employee of the school who is accused of committing an offense under this section until the employee is indicted for the offense. </w:t>
      </w:r>
      <w:r>
        <w:rPr>
          <w:u w:val="single"/>
        </w:rPr>
        <w:t xml:space="preserve"> </w:t>
      </w:r>
      <w:r>
        <w:rPr>
          <w:u w:val="single"/>
        </w:rPr>
        <w:t xml:space="preserve">The school, or the person or entity that operates the school, may release the name of the accused employee regardless of whether the employee has been indicted for the offense as necessary for the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accusation: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Education Agency, another state agency, or local law enforcement or as otherwise required by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school's members or community in accordance with the school's policies or procedures or with the religious law observed by the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an investigation of the accusation.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"sexual contact" means the following acts, if committed with the intent to arouse or gratify the sexual desire of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touching by an employee of a public or private primary or secondary school of the anus, breast, or any part of the genitals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enrolled person described by Subsection (a)(1) or (a)(2)(A);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participant described by Subsection (a)(2)(B);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touching of any part of the body of the enrolled person or student participant with the anus, breast, or any part of the genitals of the employee.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246 was passed by the House on May 5, 2021, by the following vote:</w:t>
      </w:r>
      <w:r xml:space="preserve">
        <w:t> </w:t>
      </w:r>
      <w:r xml:space="preserve">
        <w:t> </w:t>
      </w:r>
      <w:r>
        <w:t xml:space="preserve">Yeas 145, Nays 0, 2 present, not voting; and that the House concurred in Senate amendments to H.B. No. 246 on May 28, 2021,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246 was passed by the Senate, with amendments, on May 25,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