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improper relationship between educator and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21.01(2), Penal Code, is amended to read as follows:</w:t>
      </w:r>
    </w:p>
    <w:p w:rsidR="003F3435" w:rsidRDefault="0032493E">
      <w:pPr>
        <w:spacing w:line="480" w:lineRule="auto"/>
        <w:ind w:firstLine="1440"/>
        <w:jc w:val="both"/>
      </w:pPr>
      <w:r>
        <w:t xml:space="preserve">(2)</w:t>
      </w:r>
      <w:r xml:space="preserve">
        <w:t> </w:t>
      </w:r>
      <w:r xml:space="preserve">
        <w:t> </w:t>
      </w:r>
      <w:r>
        <w:t xml:space="preserve">"Sexual contact" means, except as provided by Section 21.11 </w:t>
      </w:r>
      <w:r>
        <w:rPr>
          <w:u w:val="single"/>
        </w:rPr>
        <w:t xml:space="preserve">or 21.12</w:t>
      </w:r>
      <w:r>
        <w:t xml:space="preserve">, any touching of the anus, breast, or any part of the genitals of another person with intent to arouse or gratify the sexual desire of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21.12, Penal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"sexual contact" means the following acts, if committed with the intent to arouse or gratify the sexual desire of any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touching by an employee of a public or private primary or secondary school of the anus, breast, or any part of the genitals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enrolled person described by Subsection (a)(1) or (a)(2)(A);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participant described by Subsection (a)(2)(B);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touching of any part of the body of the enrolled person or student participant with the anus, breast, or any part of the genitals of the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