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Bernal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purchases made by a school district and open-enrollment charter school using the instructional materials and technology </w:t>
      </w:r>
      <w:r>
        <w:t xml:space="preserve">allotment.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31.002, Education Code, is amended by adding Subsection (5)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(5)</w:t>
      </w:r>
      <w:r xml:space="preserve">
        <w:t> </w:t>
      </w:r>
      <w:r xml:space="preserve">
        <w:t> </w:t>
      </w:r>
      <w:r>
        <w:rPr>
          <w:u w:val="single"/>
        </w:rPr>
        <w:t xml:space="preserve">“Bundle” means one or more instructional materials, as defined by this chapter, that are sold together for one price.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31, Education Code, is amended by adding Section 31.0216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31.0216.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BUNDLING OF INSTRUCTIONAL MATERIALS.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A school district or open-enrollment charter school entitled to an allotment under Section 31.0211 (a), Education Code shall not purchase instructional materials or technology from a publisher or vendor that bundles instructional materials.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It is an exception to the application of this section if a school district or open-enrollment charter school deems that the bundling of instructional materials or technology from a publisher or vendor is beneficial.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