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87R1600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economically disadvantaged person for the purposes of determining whether a business is a historically underutilized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2161.001(3),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"Economically disadvantaged person" means 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economically disadvantaged because of the person's identification as a member of a certain group,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Black Americans;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Hispanic Americans;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women;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Asian Pacific Americans;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rPr>
          <w:u w:val="single"/>
        </w:rPr>
        <w:t xml:space="preserve">Subcontinent Asian Americans;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 xml:space="preserve">
        <w:t> </w:t>
      </w:r>
      <w:r>
        <w:t xml:space="preserve">Native Americans;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(vi)</w:t>
      </w:r>
      <w:r>
        <w:t xml:space="preserve">]</w:t>
      </w:r>
      <w:r xml:space="preserve">
        <w:t> </w:t>
      </w:r>
      <w:r xml:space="preserve">
        <w:t> </w:t>
      </w:r>
      <w:r>
        <w:t xml:space="preserve">veterans as defined by 38 U.S.C. Section 101(2) who have suffered at least a 20 percent service-connected disability as defined by 38 U.S.C. Section 101(16);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suffered the effects of discriminatory practices or other similar insidious circumstances over which the person has no control.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