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civil liability for certain professionals for the disclosure of certain mental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611.004,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medical</w:t>
      </w:r>
      <w:r>
        <w:rPr>
          <w:u w:val="single"/>
        </w:rPr>
        <w:t xml:space="preserve">, mental health,</w:t>
      </w:r>
      <w:r>
        <w:t xml:space="preserve"> or law enforcement personnel if the professional </w:t>
      </w:r>
      <w:r>
        <w:rPr>
          <w:u w:val="single"/>
        </w:rPr>
        <w:t xml:space="preserve">in good faith</w:t>
      </w:r>
      <w:r>
        <w:t xml:space="preserve"> </w:t>
      </w:r>
      <w:r>
        <w:t xml:space="preserve">determines that there is a probability of imminent physical injury by the patient to the patient or others or there is a probability of 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or</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74.051(e), Civil Practice and Remedies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described by Section 611.001(2)(A) or (B) who in good faith discloses confidential information in accordance with Subsection (a)(2) of this section is immune from civil liability in an action brought against the person for disclosing the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disclosure of confidential information made on or after the effective date of this Act. </w:t>
      </w:r>
      <w:r>
        <w:t xml:space="preserve"> </w:t>
      </w:r>
      <w:r>
        <w:t xml:space="preserve">A disclosure made before the effective date of this Act is governed by the law in effect on the date the disclosure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