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(a)  In this section, "retired classroom teacher"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formerly employed as a classroom teacher, as that term is defined by Section 5.001,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retiree of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