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87R1679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of no-knock entries performed by law enforcement agencies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411, Government Code, is amended by adding Section 411.056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411.056.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ON NO-KNOCK ENTRIES BY LAW ENFORCEMENT AGENCIES.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"Law enforcement agency" has the meaning assigned by Article 59.01, Code of Criminal Procedure.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"No-knock entry" means a peace officer's entry, for the purpose of executing a warrant, into a building or other place without giving notice of the officer's authority or purpose before entering.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2022, a law enforcement agency that employs peace officers who perform no-knock entries shall report to the department, on a form prescribed by the director, the following information for the period beginning on November 1, 2021, and ending on October 31, 2022: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no-knock entries performed by peace officers employed by the law enforcement agency;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no-knock entry performed: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any peace officer suffered an injury or death as a result of the entry and a description of each injury and cause of death, as applicable;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any other person suffered an injury or death as a result of the entry and a description of each injury and cause of death, as applicable;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entry was performed for the purpose of executing a search warrant,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property to be searched for and of any property seized;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entry was performed for the purpose of executing an arrest warrant, the name of the person whose arrest was ordered and the offense the person was accused of committing;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any person arrested.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January 1, 2023, the director shall summarize the information received under Subsection (b) in a report to the governor, the lieutenant governor, and each standing committee of the legislature with primary jurisdiction over criminal justice matters. The report must contain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number of no-knock entries performed by each law enforcement agency, and the number performed for each of the following categories of offenses: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offenses involving violence;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nonviolent offenses;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drug-related offenses;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number of peace officers and other persons who suffered an injury or death as a result of a no-knock entry;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no-knock entries that were performed for the purpose of executing a search warrant, the proportion of those entries in which the property described by the warrant was seized;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no-knock entries that were performed for the purpose of executing an arrest warrant, the proportion of those entries in which the person named in the warrant was arrested.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2021, the director shall promulgate the form required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