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or possession of a handgun by certain retired judges and justices and certain other governmental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46.035(h-1), Penal Code, as added by Chapter 1214 (H.B. 1889),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 and (c) that the actor, at the time of the commission of the offense, was:</w:t>
      </w:r>
    </w:p>
    <w:p w:rsidR="003F3435" w:rsidRDefault="0032493E">
      <w:pPr>
        <w:spacing w:line="480" w:lineRule="auto"/>
        <w:ind w:firstLine="1440"/>
        <w:jc w:val="both"/>
      </w:pPr>
      <w:r>
        <w:t xml:space="preserve">(1)</w:t>
      </w:r>
      <w:r xml:space="preserve">
        <w:t> </w:t>
      </w:r>
      <w:r xml:space="preserve">
        <w:t> </w:t>
      </w:r>
      <w:r>
        <w:t xml:space="preserve">an active </w:t>
      </w:r>
      <w:r>
        <w:rPr>
          <w:u w:val="single"/>
        </w:rPr>
        <w:t xml:space="preserve">or retired</w:t>
      </w:r>
      <w:r>
        <w:t xml:space="preserve"> judicial officer, as defined by Section 411.201, Government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bailiff designated by </w:t>
      </w:r>
      <w:r>
        <w:rPr>
          <w:u w:val="single"/>
        </w:rPr>
        <w:t xml:space="preserve">an</w:t>
      </w:r>
      <w:r>
        <w:t xml:space="preserve"> [</w:t>
      </w:r>
      <w:r>
        <w:rPr>
          <w:strike/>
        </w:rPr>
        <w:t xml:space="preserve">the</w:t>
      </w:r>
      <w:r>
        <w:t xml:space="preserve">] active judicial officer and engaged in escorting the officer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or justice of a federal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 retired after serving as a judge or justice described by Section 411.201(a)(1)(A), Government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w:t>
      </w:r>
      <w:r>
        <w:rPr>
          <w:u w:val="single"/>
        </w:rPr>
        <w:t xml:space="preserve">or retired</w:t>
      </w:r>
      <w:r>
        <w:t xml:space="preser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retired after serving as a judge or justice described by Section 411.201(a)(1)(A),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licensed to carry a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46.035(h-1), Penal Code, as added by Chapter 1222 (H.B. 2300), Acts of the 80th Legislature, Regular Session, 2007,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