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punishment for certain conduct constituting the criminal offense of obstruction or retaliation.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w:t>
      </w:r>
    </w:p>
    <w:p w:rsidR="003F3435" w:rsidRDefault="0032493E">
      <w:pPr>
        <w:spacing w:line="480" w:lineRule="auto"/>
        <w:ind w:firstLine="1440"/>
        <w:jc w:val="both"/>
      </w:pPr>
      <w:r>
        <w:t xml:space="preserve">(1)</w:t>
      </w:r>
      <w:r xml:space="preserve">
        <w:t> </w:t>
      </w:r>
      <w:r xml:space="preserve">
        <w:t> </w:t>
      </w:r>
      <w:r>
        <w:t xml:space="preserve">the victim of the offense was harmed or threatened because of the victim's service or status as a </w:t>
      </w:r>
      <w:r>
        <w:rPr>
          <w:u w:val="single"/>
        </w:rPr>
        <w:t xml:space="preserve">public servant</w:t>
      </w:r>
      <w:r>
        <w:t xml:space="preserve"> [</w:t>
      </w:r>
      <w:r>
        <w:rPr>
          <w:strike/>
        </w:rPr>
        <w:t xml:space="preserve">juror</w:t>
      </w:r>
      <w:r>
        <w:t xml:space="preserve">]; or</w:t>
      </w:r>
    </w:p>
    <w:p w:rsidR="003F3435" w:rsidRDefault="0032493E">
      <w:pPr>
        <w:spacing w:line="480" w:lineRule="auto"/>
        <w:ind w:firstLine="1440"/>
        <w:jc w:val="both"/>
      </w:pPr>
      <w:r>
        <w:t xml:space="preserve">(2)</w:t>
      </w:r>
      <w:r xml:space="preserve">
        <w:t> </w:t>
      </w:r>
      <w:r xml:space="preserve">
        <w:t> </w:t>
      </w:r>
      <w:r>
        <w:t xml:space="preserve">the actor's conduct is described by Subsection (a-1) and results in the bodily injury of a public servant or a member of a public servant's family or household.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