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of continuous eligibility for the medical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  The executive commissioner shall adopt rules in accordance with 42 U.S.C. Section 1396a(e)(12), as amended, to provide for a period of continuous eligibility for a child under 19 years of age who is determined to be eligible for medical assistance under this chapter.  The rules shall provide that the child remains eligible for medical assistance, without additional review by the commission and regardless of changes in the child's resources or income,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first anniversary of</w:t>
      </w:r>
      <w:r>
        <w:t xml:space="preserve"> [</w:t>
      </w:r>
      <w:r>
        <w:rPr>
          <w:strike/>
        </w:rPr>
        <w:t xml:space="preserve">end of the six-month period following</w:t>
      </w:r>
      <w:r>
        <w:t xml:space="preserve">] the date on which the child's eligibility was determined; or</w:t>
      </w:r>
    </w:p>
    <w:p w:rsidR="003F3435" w:rsidRDefault="0032493E">
      <w:pPr>
        <w:spacing w:line="480" w:lineRule="auto"/>
        <w:ind w:firstLine="1440"/>
        <w:jc w:val="both"/>
      </w:pPr>
      <w:r>
        <w:t xml:space="preserve">(2)</w:t>
      </w:r>
      <w:r xml:space="preserve">
        <w:t> </w:t>
      </w:r>
      <w:r xml:space="preserve">
        <w:t> </w:t>
      </w:r>
      <w:r>
        <w:t xml:space="preserve">the child's 19th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