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et al.</w:t>
      </w:r>
      <w:r>
        <w:t xml:space="preserve"> </w:t>
      </w:r>
      <w:r xml:space="preserve">
        <w:tab wTab="150" tlc="none" cTlc="0"/>
      </w:r>
      <w:r>
        <w:t xml:space="preserve">H.B.</w:t>
      </w:r>
      <w:r xml:space="preserve">
        <w:t> </w:t>
      </w:r>
      <w:r>
        <w:t xml:space="preserve">No.</w:t>
      </w:r>
      <w:r xml:space="preserve">
        <w:t> </w:t>
      </w:r>
      <w:r>
        <w:t xml:space="preserve">290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18,</w:t>
      </w:r>
      <w:r xml:space="preserve">
        <w:t> </w:t>
      </w:r>
      <w:r>
        <w:t xml:space="preserve">2021, read first time and referred to Committee on Health &amp; Human Services;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290</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period of continuous eligibility and a periodic eligibility review for a child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 of</w:t>
      </w:r>
      <w:r>
        <w:t xml:space="preserve"> [</w:t>
      </w:r>
      <w:r>
        <w:rPr>
          <w:strike/>
        </w:rPr>
        <w:t xml:space="preserve">a period of continuous</w:t>
      </w:r>
      <w:r>
        <w:t xml:space="preserve">] eligibility for a child </w:t>
      </w:r>
      <w:r>
        <w:rPr>
          <w:u w:val="single"/>
        </w:rPr>
        <w:t xml:space="preserve">between each certification and recertification of the child's eligibility, subject to Subsections (f) and (h)</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of the two consecutive periods of eligibility described by Subsection (b) must be continuous in accordance with Subsection (d).  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(f)(1) and (h)</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The commission may conduct this review only once during the child's two consecutive periods of eligibility. </w:t>
      </w:r>
      <w:r>
        <w:rPr>
          <w:u w:val="single"/>
        </w:rPr>
        <w:t xml:space="preserve"> </w:t>
      </w:r>
      <w:r>
        <w:rPr>
          <w:u w:val="single"/>
        </w:rPr>
        <w:t xml:space="preserve">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