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1366.101;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Medicaid managed care programs operated under Chapter 533,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Medicaid programs operated under Chapter 32, Human Resources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child health plan operated under Chapter 62 or 63,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REQUIRED COVERAGE.  (a)  Subject to Subsection (b), a health benefit plan must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