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87R1185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financial audit of public institutions of higher education by the state auditor.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321, Government Code, is amended by adding Section 321.01365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321.01365.</w:t>
      </w:r>
      <w:r>
        <w:rPr>
          <w:u w:val="single"/>
        </w:rPr>
        <w:t xml:space="preserve"> </w:t>
      </w:r>
      <w:r>
        <w:rPr>
          <w:u w:val="single"/>
        </w:rPr>
        <w:t xml:space="preserve"> </w:t>
      </w:r>
      <w:r>
        <w:rPr>
          <w:u w:val="single"/>
        </w:rPr>
        <w:t xml:space="preserve">FINANCIAL AUDIT OF INSTITUTIONS OF HIGHER EDUCATION.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September 1, 2022, the state auditor shall conduct a financial audit of each institution of higher education at least every five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in consultation with the Texas Higher Education Coordinating Board, shall determine when each institution of higher education is audited under this section, taking into account the resources of the state auditor and any other factors the state auditor considers appropriate.  The state auditor shall consider the requirements of this section in devising an audit plan under Section 321.013(c).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shall include on the home page of the institution's Internet website a prominently displayed link to the institution's most recent financial audit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