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87R231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student body of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28.002;</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12.1141 or 12.115 or under Chapter 39A;</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12.1181;</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39A,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12.1141 or 12.115 or Chapter 39A,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academic, artistic, or athletic ability, or</w:t>
      </w:r>
      <w:r>
        <w:rPr>
          <w:u w:val="single"/>
        </w:rPr>
        <w:t xml:space="preserve">, subject to Section 12.1172,</w:t>
      </w:r>
      <w:r>
        <w:t xml:space="preserve">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 has a documented history of a criminal offense, a juvenile court adjudication, or discipline problems under Subchapter A, Chapter 37;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12.1172.</w:t>
      </w:r>
      <w:r>
        <w:rPr>
          <w:u w:val="single"/>
        </w:rPr>
        <w:t xml:space="preserve"> </w:t>
      </w:r>
      <w:r>
        <w:rPr>
          <w:u w:val="single"/>
        </w:rPr>
        <w:t xml:space="preserve"> </w:t>
      </w:r>
      <w:r>
        <w:rPr>
          <w:u w:val="single"/>
        </w:rPr>
        <w:t xml:space="preserve">ADMISSION PREFERENCE FOR CERTAIN STUDENTS.  (a)  Except as provided by Subsection (d), the governing body of an open-enrollment charter school shall adopt and implement admission procedures designed to ensure that students who reside in the attendance zone of the school district within the boundaries of which the school is located represent a majority of the school's total 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necessary to achieve the result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governing body that uses a lottery to fill available positions, as authorized by Section 12.117, may conduct separate lotteries for students who reside in the attendance zone of the school district within the boundaries of which the school is located and for students who do not reside in that attendance zone;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governing body that fills available positions based on the order in which applications were received, as authorized by Section 12.117, may fill available positions based on the order in which applications were received from students  who reside in the attendance zone of the school district within the boundaries of which the school is located before filling available positions with students who do not reside in that attendance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decline to renew the charter of an open-enrollment charter school if the commissioner determines that the governing body of the open-enrollment charter school has not complied with this section, unless the commissioner determines that the governing body made a good faith effort to comply but was unable to achieve the result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the governing body of an open-enrollment charter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designated as a dropout recovery school under Section 12.1141(c);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specializes in one or more performing arts;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serves another special purpose and limits enrollment to students with specific characteristics related to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12.1172, Education Code, as added by this Act, applies to each open-enrollment charter school authorized under Subchapter D, Chapter 12, Education Code.  A school in operation before the 2022-2023 school year shall achieve the required student body composition by not later than the start of the 2025-2026 school year.  A school that begins operation during or after the 2022-2023 school year shall achieve the required student body composition beginning with the first school year of operation.</w:t>
      </w:r>
    </w:p>
    <w:p w:rsidR="003F3435" w:rsidRDefault="0032493E">
      <w:pPr>
        <w:spacing w:line="480" w:lineRule="auto"/>
        <w:ind w:firstLine="720"/>
        <w:jc w:val="both"/>
      </w:pPr>
      <w:r>
        <w:t xml:space="preserve">(b)</w:t>
      </w:r>
      <w:r xml:space="preserve">
        <w:t> </w:t>
      </w:r>
      <w:r xml:space="preserve">
        <w:t> </w:t>
      </w:r>
      <w:r>
        <w:t xml:space="preserve">Section 12.1172, Education Code, as added by this Act, does not affect the ability of a student enrolled in an open-enrollment charter school during the 2021-2022 school year to continue attending that school as long as the student maintains enrollment during consecutive school years.</w:t>
      </w:r>
    </w:p>
    <w:p w:rsidR="003F3435" w:rsidRDefault="0032493E">
      <w:pPr>
        <w:spacing w:line="480" w:lineRule="auto"/>
        <w:ind w:firstLine="720"/>
        <w:jc w:val="both"/>
      </w:pPr>
      <w:r>
        <w:t xml:space="preserve">(c)</w:t>
      </w:r>
      <w:r xml:space="preserve">
        <w:t> </w:t>
      </w:r>
      <w:r xml:space="preserve">
        <w:t> </w:t>
      </w:r>
      <w:r>
        <w:t xml:space="preserve">A sibling of a student described by Subsection (b) of this section who seeks admission for any school year to the same open-enrollment charter school as attended by the student described by Subsection (b) during the 2021-2022 school year shall be considered for purposes of admission as a student who resides in the attendance zone of the school district within the boundaries of which the school is located, regardless of the student's actual residence.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