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12.092,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in Subsection (c), the</w:t>
      </w:r>
      <w:r>
        <w:t xml:space="preserve"> [</w:t>
      </w:r>
      <w:r>
        <w:rPr>
          <w:strike/>
        </w:rPr>
        <w:t xml:space="preserve">The</w:t>
      </w:r>
      <w:r>
        <w:t xml:space="preserve">] commissioner shall appoint the medical advisory board members from:</w:t>
      </w:r>
    </w:p>
    <w:p w:rsidR="003F3435" w:rsidRDefault="0032493E">
      <w:pPr>
        <w:spacing w:line="480" w:lineRule="auto"/>
        <w:ind w:firstLine="1440"/>
        <w:jc w:val="both"/>
      </w:pPr>
      <w:r>
        <w:t xml:space="preserve">(1)</w:t>
      </w:r>
      <w:r xml:space="preserve">
        <w:t> </w:t>
      </w:r>
      <w:r xml:space="preserve">
        <w:t> </w:t>
      </w:r>
      <w:r>
        <w:t xml:space="preserve">persons licensed to practice medicine in this state, including physicians who are board certified in internal medicine, psychiatry, neurology, physical medicine, or ophthalmology and who are jointly recommended by the department and the Texas Medical Association; and</w:t>
      </w:r>
    </w:p>
    <w:p w:rsidR="003F3435" w:rsidRDefault="0032493E">
      <w:pPr>
        <w:spacing w:line="480" w:lineRule="auto"/>
        <w:ind w:firstLine="1440"/>
        <w:jc w:val="both"/>
      </w:pPr>
      <w:r>
        <w:t xml:space="preserve">(2)</w:t>
      </w:r>
      <w:r xml:space="preserve">
        <w:t> </w:t>
      </w:r>
      <w:r xml:space="preserve">
        <w:t> </w:t>
      </w:r>
      <w:r>
        <w:t xml:space="preserve">persons licensed to practice optometry in this state who are jointly recommended by the department and the Texas Optometric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appoint at least one representative from the following agencies to the medical advisory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of the State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12.094(a),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w:t>
      </w:r>
    </w:p>
    <w:p w:rsidR="003F3435" w:rsidRDefault="0032493E">
      <w:pPr>
        <w:spacing w:line="480" w:lineRule="auto"/>
        <w:ind w:firstLine="1440"/>
        <w:jc w:val="both"/>
      </w:pPr>
      <w:r>
        <w:t xml:space="preserve">(1)</w:t>
      </w:r>
      <w:r xml:space="preserve">
        <w:t> </w:t>
      </w:r>
      <w:r xml:space="preserve">
        <w:t> </w:t>
      </w:r>
      <w:r>
        <w:rPr>
          <w:u w:val="single"/>
        </w:rPr>
        <w:t xml:space="preserve">shall</w:t>
      </w:r>
      <w:r>
        <w:t xml:space="preserve"> [</w:t>
      </w:r>
      <w:r>
        <w:rPr>
          <w:strike/>
        </w:rPr>
        <w:t xml:space="preserve">may</w:t>
      </w:r>
      <w:r>
        <w:t xml:space="preserve">] adopt rules to govern the activities of the medical advisory board;</w:t>
      </w:r>
    </w:p>
    <w:p w:rsidR="003F3435" w:rsidRDefault="0032493E">
      <w:pPr>
        <w:spacing w:line="480" w:lineRule="auto"/>
        <w:ind w:firstLine="1440"/>
        <w:jc w:val="both"/>
      </w:pPr>
      <w:r>
        <w:t xml:space="preserve">(2)</w:t>
      </w:r>
      <w:r xml:space="preserve">
        <w:t> </w:t>
      </w:r>
      <w:r xml:space="preserve">
        <w:t> </w:t>
      </w:r>
      <w:r>
        <w:rPr>
          <w:u w:val="single"/>
        </w:rPr>
        <w:t xml:space="preserve">shall annually appoint from among the members a chair and a vice chair of the medical advisory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review the medical advisory board's rules and internal procedures;</w:t>
      </w:r>
    </w:p>
    <w:p w:rsidR="003F3435" w:rsidRDefault="0032493E">
      <w:pPr>
        <w:spacing w:line="480" w:lineRule="auto"/>
        <w:ind w:firstLine="1440"/>
        <w:jc w:val="both"/>
      </w:pPr>
      <w:r>
        <w:rPr>
          <w:u w:val="single"/>
        </w:rPr>
        <w:t xml:space="preserve">(4)</w:t>
      </w:r>
      <w:r xml:space="preserve">
        <w:t> </w:t>
      </w:r>
      <w:r xml:space="preserve">
        <w:t> </w:t>
      </w:r>
      <w:r>
        <w:t xml:space="preserve">by rule may establish a reasonable fee to pay a member of the medical advisory board for the member's professional consultation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if appropriate, may authorize reimbursement for travel expenses as provided by Section 2110.004, Government Code, for each meeting a member attends.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12.095,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At least one member of a panel must have medical expertise relating to the medical condition of the applicant or license holder whose application or license is being considered by the panel.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