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87R8270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 Buckley</w:t>
      </w:r>
      <w:r xml:space="preserve">
        <w:tab wTab="150" tlc="none" cTlc="0"/>
      </w:r>
      <w:r>
        <w:t xml:space="preserve">H.B.</w:t>
      </w:r>
      <w:r xml:space="preserve">
        <w:t> </w:t>
      </w:r>
      <w:r>
        <w:t xml:space="preserve">No.</w:t>
      </w:r>
      <w:r xml:space="preserve">
        <w:t> </w:t>
      </w:r>
      <w:r>
        <w:t xml:space="preserve">317</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317:</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discrimination against living organ donors by certain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Living Organ Donor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544, Insurance Code, is amended by adding Subchapter M to read as follows:</w:t>
      </w:r>
    </w:p>
    <w:p w:rsidR="003F3435" w:rsidRDefault="0032493E">
      <w:pPr>
        <w:spacing w:line="480" w:lineRule="auto"/>
        <w:jc w:val="center"/>
      </w:pPr>
      <w:r>
        <w:rPr>
          <w:u w:val="single"/>
        </w:rPr>
        <w:t xml:space="preserve">SUBCHAPTER M.  LIVING ORGAN DONORS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544.601.</w:t>
      </w:r>
      <w:r>
        <w:rPr>
          <w:u w:val="single"/>
        </w:rPr>
        <w:t xml:space="preserve"> </w:t>
      </w:r>
      <w:r>
        <w:rPr>
          <w:u w:val="single"/>
        </w:rPr>
        <w:t xml:space="preserve"> </w:t>
      </w:r>
      <w:r>
        <w:rPr>
          <w:u w:val="single"/>
        </w:rPr>
        <w:t xml:space="preserve">DEFINITION.  In this subchapter, "living organ donor" means a living individual who donates an organ to another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544.602.</w:t>
      </w:r>
      <w:r>
        <w:rPr>
          <w:u w:val="single"/>
        </w:rPr>
        <w:t xml:space="preserve"> </w:t>
      </w:r>
      <w:r>
        <w:rPr>
          <w:u w:val="single"/>
        </w:rPr>
        <w:t xml:space="preserve"> </w:t>
      </w:r>
      <w:r>
        <w:rPr>
          <w:u w:val="single"/>
        </w:rPr>
        <w:t xml:space="preserve">APPLICABILITY OF SUBCHAPTER.  This subchapter applies only to a life insurance policy or contract, disability insurance policy, or long-term care insurance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544.603.</w:t>
      </w:r>
      <w:r>
        <w:rPr>
          <w:u w:val="single"/>
        </w:rPr>
        <w:t xml:space="preserve"> </w:t>
      </w:r>
      <w:r>
        <w:rPr>
          <w:u w:val="single"/>
        </w:rPr>
        <w:t xml:space="preserve"> </w:t>
      </w:r>
      <w:r>
        <w:rPr>
          <w:u w:val="single"/>
        </w:rPr>
        <w:t xml:space="preserve">PROHIBITIONS.  (a) An insurer may not, based solely on the status of an individual as a living organ donor: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deny coverage to the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refuse to renew the individual's coverage;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individual's coverage;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limit the amount, extent, or kind of coverage available to the individual;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charge the individual or a group to which the individual belongs a rate that is different than the rate charged to other individuals or groups, as applicable, for the same coverage unless the rate differential is based on sound actuarial principles or sound underwriting related to actual or anticipated loss experience for a particular risk.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insurer may not prevent an insured from donating all or part of an organ as a condition of continuing coverage.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544.603, Insurance Code, as added by this Act, applies only to an insurance policy or contract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