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87R1858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319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participation in University Interscholastic League activities of public school students who reside in an inpatient mental health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33, Education Code, is amended by adding Section 33.0832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33.0832.</w:t>
      </w:r>
      <w:r>
        <w:rPr>
          <w:u w:val="single"/>
        </w:rPr>
        <w:t xml:space="preserve"> </w:t>
      </w:r>
      <w:r>
        <w:rPr>
          <w:u w:val="single"/>
        </w:rPr>
        <w:t xml:space="preserve"> </w:t>
      </w:r>
      <w:r>
        <w:rPr>
          <w:u w:val="single"/>
        </w:rPr>
        <w:t xml:space="preserve">PARTICIPATION IN UNIVERSITY INTERSCHOLASTIC LEAGUE ACTIVITIES BY STUDENTS IN INPATIENT MENTAL HEALTH FACILITIES.  (a)  In this section, "inpatient mental health facility" has the meaning assigned by Section 571.003,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University Interscholastic League shall ensure that league rules do not exclude from eligibility for participation in a league activity a student who resides in an inpatient mental health facility and receives public education under an agreement with a school district or open-enrollment charter school under Section 29.012.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adopt or enforce policies that restrict participation in University Interscholastic League activities by a student who resides in an inpatient mental health facility and receives education services from the district or school under an agreement under Section 29.012.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ensuring that a student who resides in an inpatient mental health facility has reasonable opportunities to participate in University Interscholastic League activities.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University Interscholastic League shall propose or amend rules as necessary to comply with Section 33.0832, Education Code, as added by this Act;</w:t>
      </w:r>
    </w:p>
    <w:p w:rsidR="003F3435" w:rsidRDefault="0032493E">
      <w:pPr>
        <w:spacing w:line="480" w:lineRule="auto"/>
        <w:ind w:firstLine="1440"/>
        <w:jc w:val="both"/>
      </w:pPr>
      <w:r>
        <w:t xml:space="preserve">(2)</w:t>
      </w:r>
      <w:r xml:space="preserve">
        <w:t> </w:t>
      </w:r>
      <w:r xml:space="preserve">
        <w:t> </w:t>
      </w:r>
      <w:r>
        <w:t xml:space="preserve">a school district or open-enrollment charter school shall propose or amend policies as necessary to comply with Section 33.0832, Education Code, as added by this Act; and</w:t>
      </w:r>
    </w:p>
    <w:p w:rsidR="003F3435" w:rsidRDefault="0032493E">
      <w:pPr>
        <w:spacing w:line="480" w:lineRule="auto"/>
        <w:ind w:firstLine="1440"/>
        <w:jc w:val="both"/>
      </w:pPr>
      <w:r>
        <w:t xml:space="preserve">(3)</w:t>
      </w:r>
      <w:r xml:space="preserve">
        <w:t> </w:t>
      </w:r>
      <w:r xml:space="preserve">
        <w:t> </w:t>
      </w:r>
      <w:r>
        <w:t xml:space="preserve">the commissioner of education shall approve any rules proposed under Section 33.0832(b), Education Code, as added by this Act, and adopt all necessary rules under Subsection (d)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