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law enforcement agency accreditation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772.0077.</w:t>
      </w:r>
      <w:r>
        <w:rPr>
          <w:u w:val="single"/>
        </w:rPr>
        <w:t xml:space="preserve"> </w:t>
      </w:r>
      <w:r>
        <w:rPr>
          <w:u w:val="single"/>
        </w:rPr>
        <w:t xml:space="preserve"> </w:t>
      </w:r>
      <w:r>
        <w:rPr>
          <w:u w:val="single"/>
        </w:rPr>
        <w:t xml:space="preserve">LAW ENFORCEMENT AGENCY ACCREDITATION GRANT PROGRAM.  (a)  In this section, "criminal justice division" means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obtaining or maintaining recognition through the Texas Police Chiefs Association Law Enforcement Best Practices Recognition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becoming accredited or maintaining accreditation by the Commission on Accreditation for Law Enforcement Agencies, Inc.;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becoming accredited or maintaining accreditation by an association or organization designated by the criminal justice division under Subsection (g).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grant awarded under this section may not exceed $50,000.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criminal justice division shall submit to the Legislative Budget Board a report that provides the following information for the preceding state fiscal year: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justice division, with the assistance of the Texas Commission on Law Enforcement, shall periodically review associations and organizations that establish standards of practice for law enforcement agencies and that offer accreditation to agencies that meet those standards. On a determination by the criminal justice division that accreditation of law enforcement agencies in this state by an association or organization would benefit public safety, the commission may designate the association or organization as an accrediting agency for purposes of Subsection (b)(3).</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