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87R323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from ad valorem taxation of certain property owned by a charitable organization and used in providing housing and related services to certain homeless individuals.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11.18(p),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The exemption authorized by Subsection (d)(23) applies only to property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owned by a charitable organization that has been in existence for at least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12 years </w:t>
      </w:r>
      <w:r>
        <w:rPr>
          <w:u w:val="single"/>
        </w:rPr>
        <w:t xml:space="preserve">if the property is located on or consists of a single campus in a municipality described by Subdivision (3)(A);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two years if the property is located on or consists of a single campus in a municipality described by Subdivision (3)(B)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used to provide housing and related services to individuals described by that subsection;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located on or consists of a single campus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municipality with a population of more than 750,000 and less than 850,000 or within the extraterritorial jurisdiction of such a municipality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more than 100,000 and less than 150,000 at least part of which is located in a county with a population of less than 5,000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