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87R17073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353:</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certain student differentials based on racial and ethnic groups and sex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 Education Code, is amended by amending Subsections (c) and (e) and adding Subsections (c-5) and (i-1) to read as follows:</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enlist in the armed forces of the United States;</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w:t>
      </w:r>
      <w:r>
        <w:rPr>
          <w:strike/>
        </w:rPr>
        <w:t xml:space="preserve">and</w:t>
      </w:r>
      <w:r>
        <w:t xml:space="preserve">] (g-3)</w:t>
      </w:r>
      <w:r>
        <w:rPr>
          <w:u w:val="single"/>
        </w:rPr>
        <w:t xml:space="preserve">, and (g-4)</w:t>
      </w:r>
      <w:r>
        <w:t xml:space="preserve">;</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 and</w:t>
      </w:r>
    </w:p>
    <w:p w:rsidR="003F3435" w:rsidRDefault="0032493E">
      <w:pPr>
        <w:spacing w:line="480" w:lineRule="auto"/>
        <w:ind w:firstLine="2880"/>
        <w:jc w:val="both"/>
      </w:pPr>
      <w:r>
        <w:t xml:space="preserve">(xii)</w:t>
      </w:r>
      <w:r xml:space="preserve">
        <w:t> </w:t>
      </w:r>
      <w:r xml:space="preserve">
        <w:t> </w:t>
      </w:r>
      <w:r>
        <w:t xml:space="preserve">students who are awarded an associate degree;</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from different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racial and ethnic groups, </w:t>
      </w:r>
      <w:r>
        <w:rPr>
          <w:u w:val="single"/>
        </w:rPr>
        <w:t xml:space="preserve">including students who are African American, Hispanic, white, American Indian, Asian, Pacific Islander, and two or more races: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considered as a whole;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disaggregated by sex; and</w:t>
      </w:r>
    </w:p>
    <w:p w:rsidR="003F3435" w:rsidRDefault="0032493E">
      <w:pPr>
        <w:spacing w:line="480" w:lineRule="auto"/>
        <w:ind w:firstLine="2880"/>
        <w:jc w:val="both"/>
      </w:pPr>
      <w:r>
        <w:rPr>
          <w:u w:val="single"/>
        </w:rPr>
        <w:t xml:space="preserve">(ii)</w:t>
      </w:r>
      <w:r xml:space="preserve">
        <w:t> </w:t>
      </w:r>
      <w:r xml:space="preserve">
        <w:t> </w:t>
      </w:r>
      <w:r>
        <w:t xml:space="preserve">socioeconomic backgrounds</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w:t>
      </w:r>
      <w:r>
        <w:t xml:space="preserve"> other </w:t>
      </w:r>
      <w:r>
        <w:rPr>
          <w:u w:val="single"/>
        </w:rPr>
        <w:t xml:space="preserve">relevant</w:t>
      </w:r>
      <w:r>
        <w:t xml:space="preserve"> factors </w:t>
      </w:r>
      <w:r>
        <w:rPr>
          <w:u w:val="single"/>
        </w:rPr>
        <w:t xml:space="preserve">not described by Paragraph (A)</w:t>
      </w:r>
      <w:r>
        <w:t xml:space="preserve">,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students formerly receiving special education services;</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students continuously enrolled; and</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students who are mobile.</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Notwithstanding Subsection (c)(3)(A)(i), if there is a conflict between that subsection and a federal law or regulation and the commissioner is unable to obtain the necessary waiver from the conflicting federal law or regulation, information reported under that subsection may only be used by the agency for purposes of a performance-based monitoring analysis system or results-driven accountability system adopted or implemented by the agency.</w:t>
      </w:r>
    </w:p>
    <w:p w:rsidR="003F3435" w:rsidRDefault="0032493E">
      <w:pPr>
        <w:spacing w:line="480" w:lineRule="auto"/>
        <w:ind w:firstLine="720"/>
        <w:jc w:val="both"/>
      </w:pPr>
      <w:r>
        <w:t xml:space="preserve">(e)</w:t>
      </w:r>
      <w:r xml:space="preserve">
        <w:t> </w:t>
      </w:r>
      <w:r xml:space="preserve">
        <w:t> </w:t>
      </w:r>
      <w:r>
        <w:t xml:space="preserve">For purposes of Subsection </w:t>
      </w:r>
      <w:r>
        <w:rPr>
          <w:u w:val="single"/>
        </w:rPr>
        <w:t xml:space="preserve">(c)(3)(B)(i)</w:t>
      </w:r>
      <w:r>
        <w:t xml:space="preserve"> [</w:t>
      </w:r>
      <w:r>
        <w:rPr>
          <w:strike/>
        </w:rPr>
        <w:t xml:space="preserve">(c)(3)(A)</w:t>
      </w:r>
      <w:r>
        <w:t xml:space="preserve">], a student formerly receiving special education services means a student whose enrollment information:</w:t>
      </w:r>
    </w:p>
    <w:p w:rsidR="003F3435" w:rsidRDefault="0032493E">
      <w:pPr>
        <w:spacing w:line="480" w:lineRule="auto"/>
        <w:ind w:firstLine="1440"/>
        <w:jc w:val="both"/>
      </w:pPr>
      <w:r>
        <w:t xml:space="preserve">(1)</w:t>
      </w:r>
      <w:r xml:space="preserve">
        <w:t> </w:t>
      </w:r>
      <w:r xml:space="preserve">
        <w:t> </w:t>
      </w:r>
      <w:r>
        <w:t xml:space="preserve">for the preceding school year, as reported through the Public Education Information Management System (PEIMS), indicates the student was enrolled at the campus and was participating in a special education program; and</w:t>
      </w:r>
    </w:p>
    <w:p w:rsidR="003F3435" w:rsidRDefault="0032493E">
      <w:pPr>
        <w:spacing w:line="480" w:lineRule="auto"/>
        <w:ind w:firstLine="1440"/>
        <w:jc w:val="both"/>
      </w:pPr>
      <w:r>
        <w:t xml:space="preserve">(2)</w:t>
      </w:r>
      <w:r xml:space="preserve">
        <w:t> </w:t>
      </w:r>
      <w:r xml:space="preserve">
        <w:t> </w:t>
      </w:r>
      <w:r>
        <w:t xml:space="preserve">for the current school year, as reported through the Public Education Information Management System (PEIMS) and as reported on assessment instruments administered to the student under Section 39.023, indicates the student is enrolled at the campus and is not participating in a special education program.</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 (c)(3)(A)(i)(b), information reported under that sub-subparagraph may not be used by the agency for accountability purposes before the accountability ratings assigned for the 2024-2025 school year.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This Act takes effect on any date not later than September 1, 2023, on which the commissioner of education:</w:t>
      </w:r>
    </w:p>
    <w:p w:rsidR="003F3435" w:rsidRDefault="0032493E">
      <w:pPr>
        <w:spacing w:line="480" w:lineRule="auto"/>
        <w:ind w:firstLine="1440"/>
        <w:jc w:val="both"/>
      </w:pPr>
      <w:r>
        <w:t xml:space="preserve">(1)</w:t>
      </w:r>
      <w:r xml:space="preserve">
        <w:t> </w:t>
      </w:r>
      <w:r xml:space="preserve">
        <w:t> </w:t>
      </w:r>
      <w:r>
        <w:t xml:space="preserve">obtains any necessary waiver from the application of federal law or regulation conflicting with Section 39.053, Education Code, as amended by this Act; or</w:t>
      </w:r>
    </w:p>
    <w:p w:rsidR="003F3435" w:rsidRDefault="0032493E">
      <w:pPr>
        <w:spacing w:line="480" w:lineRule="auto"/>
        <w:ind w:firstLine="1440"/>
        <w:jc w:val="both"/>
      </w:pPr>
      <w:r>
        <w:t xml:space="preserve">(2)</w:t>
      </w:r>
      <w:r xml:space="preserve">
        <w:t> </w:t>
      </w:r>
      <w:r xml:space="preserve">
        <w:t> </w:t>
      </w:r>
      <w:r>
        <w:t xml:space="preserve">receives written notification from the United States Department of Education that a waiver is not required.</w:t>
      </w:r>
    </w:p>
    <w:p w:rsidR="003F3435" w:rsidRDefault="0032493E">
      <w:pPr>
        <w:spacing w:line="480" w:lineRule="auto"/>
        <w:ind w:firstLine="720"/>
        <w:jc w:val="both"/>
      </w:pPr>
      <w:r>
        <w:t xml:space="preserve">(b)</w:t>
      </w:r>
      <w:r xml:space="preserve">
        <w:t> </w:t>
      </w:r>
      <w:r xml:space="preserve">
        <w:t> </w:t>
      </w:r>
      <w:r>
        <w:t xml:space="preserve">This Act applies beginning with the first school year that begins after the date on which this Act takes effect under Subsection (a) of this section.</w:t>
      </w:r>
    </w:p>
    <w:p w:rsidR="003F3435" w:rsidRDefault="0032493E">
      <w:pPr>
        <w:spacing w:line="480" w:lineRule="auto"/>
        <w:ind w:firstLine="720"/>
        <w:jc w:val="both"/>
      </w:pPr>
      <w:r>
        <w:t xml:space="preserve">(c)</w:t>
      </w:r>
      <w:r xml:space="preserve">
        <w:t> </w:t>
      </w:r>
      <w:r xml:space="preserve">
        <w:t> </w:t>
      </w:r>
      <w:r>
        <w:t xml:space="preserve">If the commissioner of education obtains any necessary waiver or receives written notification as described by Subsection (a) of this section, the commissioner shall certify that the commissioner has obtained the waiver or received notification that a waiver is not required, as applicable, and shall publish notice of that fact in the Texas Register as soon as practicable after obtaining the waiver or receiving notification.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