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361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franchise tax credit for taxable entities that provide paid family care leave.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Family First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171, Tax Code, is amended by adding Subchapter X to read as follows:</w:t>
      </w:r>
    </w:p>
    <w:p w:rsidR="003F3435" w:rsidRDefault="0032493E">
      <w:pPr>
        <w:spacing w:line="480" w:lineRule="auto"/>
        <w:jc w:val="center"/>
      </w:pPr>
      <w:r>
        <w:rPr>
          <w:u w:val="single"/>
        </w:rPr>
        <w:t xml:space="preserve">SUBCHAPTER X.  TAX CREDIT FOR PAID FAMILY CARE LEAVE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 means an individual who performs services for an employer for compensation under an oral or written contract of hire, whether express or implied.  The term does not include an independent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"Infant" means a child younger than one year of 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171.9282.</w:t>
      </w:r>
      <w:r>
        <w:rPr>
          <w:u w:val="single"/>
        </w:rPr>
        <w:t xml:space="preserve"> </w:t>
      </w:r>
      <w:r>
        <w:rPr>
          <w:u w:val="single"/>
        </w:rPr>
        <w:t xml:space="preserve"> </w:t>
      </w:r>
      <w:r>
        <w:rPr>
          <w:u w:val="single"/>
        </w:rPr>
        <w:t xml:space="preserve">ENTITLEMENT TO CREDIT.  A taxable entity is entitled to a credit in the amount and under the conditions provided by this subchapter against the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171.9283.</w:t>
      </w:r>
      <w:r>
        <w:rPr>
          <w:u w:val="single"/>
        </w:rPr>
        <w:t xml:space="preserve"> </w:t>
      </w:r>
      <w:r>
        <w:rPr>
          <w:u w:val="single"/>
        </w:rPr>
        <w:t xml:space="preserve"> </w:t>
      </w:r>
      <w:r>
        <w:rPr>
          <w:u w:val="single"/>
        </w:rPr>
        <w:t xml:space="preserve">QUALIFICATION.  A taxable entity with an average of not more than 1,500 employees during the period on which the report is based qualifies for a credit under this subchapter if the taxable entity provides paid family care leave to an employee according to a policy adopted by the taxable entity under which an employee is entitled to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weeks of paid leave following giving birth to an infant;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weeks of paid leave following the birth of the employee's infant, if Subdivision (1) does not apply to the employee;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weeks of paid leave following the adoption of an infant by the employee or placement by the Department of Family and Protective Services of an infant in substitute care with the employee.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171.9284.</w:t>
      </w:r>
      <w:r>
        <w:rPr>
          <w:u w:val="single"/>
        </w:rPr>
        <w:t xml:space="preserve"> </w:t>
      </w:r>
      <w:r>
        <w:rPr>
          <w:u w:val="single"/>
        </w:rPr>
        <w:t xml:space="preserve"> </w:t>
      </w:r>
      <w:r>
        <w:rPr>
          <w:u w:val="single"/>
        </w:rPr>
        <w:t xml:space="preserve">AMOUNT OF CREDIT.  The amount of the credit for a report is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twice the amount of the costs attributable to providing paid family care leave described by Section 171.9283 to employees during the accounting period on which the report is based;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franchise tax due for the report after applying all other applicable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171.9285.</w:t>
      </w:r>
      <w:r>
        <w:rPr>
          <w:u w:val="single"/>
        </w:rPr>
        <w:t xml:space="preserve"> </w:t>
      </w:r>
      <w:r>
        <w:rPr>
          <w:u w:val="single"/>
        </w:rPr>
        <w:t xml:space="preserve"> </w:t>
      </w:r>
      <w:r>
        <w:rPr>
          <w:u w:val="single"/>
        </w:rPr>
        <w:t xml:space="preserve">APPLICATION FOR CREDIT.  (a)  A taxable entity must apply for a credit under this subchapter on or with the report for the period for which the credit is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promulgate a form for the application for the credit.  A taxable entity must use the form in applying for the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171.9286.</w:t>
      </w:r>
      <w:r>
        <w:rPr>
          <w:u w:val="single"/>
        </w:rPr>
        <w:t xml:space="preserve"> </w:t>
      </w:r>
      <w:r>
        <w:rPr>
          <w:u w:val="single"/>
        </w:rPr>
        <w:t xml:space="preserve"> </w:t>
      </w:r>
      <w:r>
        <w:rPr>
          <w:u w:val="single"/>
        </w:rPr>
        <w:t xml:space="preserve">PERIOD FOR WHICH CREDIT MAY BE CLAIMED.  A taxable entity may claim a credit under this subchapter for a report only in connection with paid family care leave provided to an employee during the accounting period on which the report is based.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171.9287.</w:t>
      </w:r>
      <w:r>
        <w:rPr>
          <w:u w:val="single"/>
        </w:rPr>
        <w:t xml:space="preserve"> </w:t>
      </w:r>
      <w:r>
        <w:rPr>
          <w:u w:val="single"/>
        </w:rPr>
        <w:t xml:space="preserve"> </w:t>
      </w:r>
      <w:r>
        <w:rPr>
          <w:u w:val="single"/>
        </w:rPr>
        <w:t xml:space="preserve">RULES.  The comptroller shall adopt rules regarding the manner by which a taxable entity may demonstrate the costs attributable to providing paid family care leave for purposes of Section 171.9284.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 report originally due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