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87R493 ADM-F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establishment of the Department of Public Safety as a voter registration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13.002(a),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desiring to register to vote must submit an application to the registrar of the county in which the person resides.  Except as provided by Subsection (e) </w:t>
      </w:r>
      <w:r>
        <w:rPr>
          <w:u w:val="single"/>
        </w:rPr>
        <w:t xml:space="preserve">or Subchapter C, Chapter 20</w:t>
      </w:r>
      <w:r>
        <w:t xml:space="preserve">, an application must be submitted by personal delivery, by mail, or by telephonic facsimile machine in accordance with Sections 13.143(d) and (d-2).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20.062, Election Code, is amended by amending Subsection (a) and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of Public Safety shall prescribe and use a form and procedure that combines the department's application form for a license or card with an officially prescribed voter registration application form </w:t>
      </w:r>
      <w:r>
        <w:rPr>
          <w:u w:val="single"/>
        </w:rPr>
        <w:t xml:space="preserve">for each United States citizen who applies in person at the department's offices or online at the department's Internet website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procedure prescribed under this section must provide for the electronic transmission of an applicant's voter registration data by the department to the secretary of state in accordance with Section 20.066.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20.063(a) and (c), Election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of Public Safety shall provide to each person who applies in person </w:t>
      </w:r>
      <w:r>
        <w:rPr>
          <w:u w:val="single"/>
        </w:rPr>
        <w:t xml:space="preserve">or online at the department's Internet website</w:t>
      </w:r>
      <w:r>
        <w:t xml:space="preserve"> [</w:t>
      </w:r>
      <w:r>
        <w:rPr>
          <w:strike/>
        </w:rPr>
        <w:t xml:space="preserve">at the department's offices</w:t>
      </w:r>
      <w:r>
        <w:t xml:space="preserve">] for an original or renewal of a driver's license, a personal identification card, or a duplicate or corrected license or card an opportunity to complete a voter registration application form.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change of address that relates to a license or card and that is submitted to the department in person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by mail</w:t>
      </w:r>
      <w:r>
        <w:rPr>
          <w:u w:val="single"/>
        </w:rPr>
        <w:t xml:space="preserve">, or online at the department's Internet website</w:t>
      </w:r>
      <w:r>
        <w:t xml:space="preserve"> serves as a change of address for voter registration unless the licensee or cardholder indicates that the change is not for voter registration purposes.  The date of submission of a change of address to a department employee is considered to be the date of submission to the voter registrar for the purpose of determining the effective date of registration [</w:t>
      </w:r>
      <w:r>
        <w:rPr>
          <w:strike/>
        </w:rPr>
        <w:t xml:space="preserve">only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