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87R2453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369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statute of limitations for aggravated assaults involving communicable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insurance fraud;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aggravated assault,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defendant was afflicted with a communicable disease and, during the commission of the offense, used a deadly weapon that consisted of the defendant's body part or bodily fluids and was capable of transmitting the disease;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victim suffered a serious bodily injury resulting from the transmission of a communicable disease from the defendant to the victim during the commission of the offense;</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apply to an offense if the prosecution of that offense becomes barred by limitation before the effective date of this Act. </w:t>
      </w:r>
      <w:r>
        <w:t xml:space="preserve"> </w:t>
      </w:r>
      <w:r>
        <w:t xml:space="preserve">The prosecution of that offense remains barred as if this Act had not taken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