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murder of a prosecuting attorney or an assistant prosecuting attorney;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w:t>
      </w:r>
    </w:p>
    <w:p w:rsidR="003F3435" w:rsidRDefault="0032493E">
      <w:pPr>
        <w:spacing w:line="480" w:lineRule="auto"/>
        <w:ind w:firstLine="1440"/>
        <w:jc w:val="both"/>
      </w:pPr>
      <w:r>
        <w:t xml:space="preserve">(9)</w:t>
      </w:r>
      <w:r xml:space="preserve">
        <w:t> </w:t>
      </w:r>
      <w:r xml:space="preserve">
        <w:t> </w:t>
      </w:r>
      <w:r>
        <w:t xml:space="preserve">the person murders an individual 10 years of age or older but younger than 15 years of age;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person murders another person in retaliation for or on account of the service or status of the other person as a prosecuting attorney, as defined by Section 41.101, Government Code, or an assistant prosecuting attorney, as described by Subchapter B, Chapter 41,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