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87R1308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period for which a school district's participation in certain tax increment financing reinvestment zones may be taken into account in determining the total taxable value of property in the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403.302, Government Code, is amended by adding Subsection (e-2)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This subsection applies only to a reinvestment zone created by a municipality that has a population of 1.1 million or more and is predominantly located in a county that has a population of 1.8 million or less.  Notwithstanding Subsection (e), if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