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87R2597 ADM-F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Moody, Thompson of Harris, Goldman,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394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Geren, Guillen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Texas Lottery Commission rules on lottery game drawings.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466.015, Government Code, is amended by adding Subsection (b-2)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permitting a lottery game drawing to be held on a Sunday.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2022, the Texas Lottery Commission shall adopt the rules required by Section 466.015(b-2), Government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