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comparisons of state budgets made by the Legislative Budget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322, Government Code, is amended by adding Section 322.0082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322.0082.</w:t>
      </w:r>
      <w:r>
        <w:rPr>
          <w:u w:val="single"/>
        </w:rPr>
        <w:t xml:space="preserve"> </w:t>
      </w:r>
      <w:r>
        <w:rPr>
          <w:u w:val="single"/>
        </w:rPr>
        <w:t xml:space="preserve"> </w:t>
      </w:r>
      <w:r>
        <w:rPr>
          <w:u w:val="single"/>
        </w:rPr>
        <w:t xml:space="preserve">BUDGET COMPARISONS.  (a)  This section applies only to a publicly available report or other document prepared by the board that compares appropriations made for one state fiscal biennium or year with the appropriations made for one or more other state fiscal bienniums or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in a report or other document to which this section applies shall ensure that a consistent accounting methodology is used for purposes of the report or document by adjusting the reported amount of appropriations made by the legislature to a state agency or institution as necessary so that the appropriations made for each of the state fiscal bienniums or years being compared reflect the approved accounting methodology for the latest of the state fiscal bienniums or years being compared.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