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432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deer breeding facility affected by chronic wasting disease.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L, Chapter 43, Parks and Wildlife Code, is amended by adding Section 43.370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43.370.</w:t>
      </w:r>
      <w:r>
        <w:rPr>
          <w:u w:val="single"/>
        </w:rPr>
        <w:t xml:space="preserve"> </w:t>
      </w:r>
      <w:r>
        <w:rPr>
          <w:u w:val="single"/>
        </w:rPr>
        <w:t xml:space="preserve"> </w:t>
      </w:r>
      <w:r>
        <w:rPr>
          <w:u w:val="single"/>
        </w:rPr>
        <w:t xml:space="preserve">DEER BREEDING FACILITY AFFECTED BY CHRONIC WASTING DISEASE.  (a)  This section applies only to a permitted deer breeding facility for which the department has obtained a chronic wasting disease test result of suspect positive for any deer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the department determines that all breeder deer at a deer breeding facility described by Subsection (a) are clear of chronic wasting disease, the department shall authorize the resumption of permitted activities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any rules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deer breeding facility for which the Parks and Wildlife Department obtains a chronic wasting disease test result of suspect positive on or after the effective date of this Act.  A deer breeding facility for which the department obtains a test result of suspect positive before the effective date of this Act is governed by the law in effect at the time the department obtains the suspect positive test result,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