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87R2589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financial literacy courses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district and each open-enrollment charter school that offers a high school program shall provide </w:t>
      </w:r>
      <w:r>
        <w:rPr>
          <w:u w:val="single"/>
        </w:rPr>
        <w:t xml:space="preserve">a</w:t>
      </w:r>
      <w:r>
        <w:t xml:space="preserve"> [</w:t>
      </w:r>
      <w:r>
        <w:rPr>
          <w:strike/>
        </w:rPr>
        <w:t xml:space="preserve">an elective</w:t>
      </w:r>
      <w:r>
        <w:t xml:space="preserve">] course in personal financial literacy that meets the requirements for [</w:t>
      </w:r>
      <w:r>
        <w:rPr>
          <w:strike/>
        </w:rPr>
        <w:t xml:space="preserve">a one-half elective</w:t>
      </w:r>
      <w:r>
        <w:t xml:space="preserve">] credit under Section 28.025, using materials approved by the State Board of Education.</w:t>
      </w:r>
      <w:r xml:space="preserve">
        <w:t> </w:t>
      </w:r>
      <w:r xml:space="preserve">
        <w:t> </w:t>
      </w:r>
      <w:r>
        <w:t xml:space="preserve">The instruction in personal financial literacy must include instruction on completing the application for federal student aid provided by the United States Department of Education.</w:t>
      </w:r>
      <w:r xml:space="preserve">
        <w:t> </w:t>
      </w:r>
      <w:r xml:space="preserve">
        <w:t> </w:t>
      </w:r>
      <w:r>
        <w:t xml:space="preserve">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w:t>
      </w:r>
      <w:r>
        <w:t xml:space="preserve"> </w:t>
      </w:r>
      <w:r>
        <w:t xml:space="preserve">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rPr>
          <w:u w:val="single"/>
        </w:rPr>
        <w:t xml:space="preserve">four and one-half</w:t>
      </w:r>
      <w:r>
        <w:t xml:space="preserve"> </w:t>
      </w:r>
      <w:r>
        <w:t xml:space="preserve">[</w:t>
      </w:r>
      <w:r>
        <w:rPr>
          <w:strike/>
        </w:rPr>
        <w:t xml:space="preserve">five</w:t>
      </w:r>
      <w:r>
        <w:t xml:space="preser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one-half credit in personal financial literacy under Section 28.0021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28.025(b-1), Education Code, as amended by this Act, applies only to students entering the ninth grade during the 2021-2022 school year or a later school year.  For students entering a grade above ninth grade during the 2021-2022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