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87R3240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 Collier, White, Dutton</w:t>
      </w:r>
      <w:r xml:space="preserve">
        <w:tab wTab="150" tlc="none" cTlc="0"/>
      </w:r>
      <w:r>
        <w:t xml:space="preserve">H.B.</w:t>
      </w:r>
      <w:r xml:space="preserve">
        <w:t> </w:t>
      </w:r>
      <w:r>
        <w:t xml:space="preserve">No.</w:t>
      </w:r>
      <w:r xml:space="preserve">
        <w:t> </w:t>
      </w:r>
      <w:r>
        <w:t xml:space="preserve">441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441:</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and licensing consequences of certain marihuana possession and drug paraphernalia possession offenses;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one ounce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14.06, Code of Criminal Procedure, is amended by adding Subsections (b-1) and (b-2)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peace officer who is charging a person with committing an offense under Section 481.121(b)(1) or 481.125(a), Health and Safety Code, may not arrest the person and shall issue the person a citation as provided by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does not apply to an officer making an arrest for an offense other than an offense under Section 481.121(b)(1) or 481.125(a), Health and Safety Code.</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45.02161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45.02161.</w:t>
      </w:r>
      <w:r>
        <w:rPr>
          <w:u w:val="single"/>
        </w:rPr>
        <w:t xml:space="preserve"> </w:t>
      </w:r>
      <w:r>
        <w:rPr>
          <w:u w:val="single"/>
        </w:rPr>
        <w:t xml:space="preserve"> </w:t>
      </w:r>
      <w:r>
        <w:rPr>
          <w:u w:val="single"/>
        </w:rPr>
        <w:t xml:space="preserve">EXPUNCTION OF CERTAIN RECORDS.  (a)  This article applies only to a person charged with an offense under Section 481.121(b)(1) or 481.125(a),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of a person relating to a complaint may be expunged under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dismissed under Article 45.051 or 45.052 or other law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180 days have elapsed from the date of the dismissal;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has elapsed from the date of the citation;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acquitted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must make a written request to have the records expunged.  The request must be under oath.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all complaints, verdicts, sentences, and prosecutorial and law enforcement records and any other documents relating to the offense expunged from the person's record if the court finds that the person satisfies the requirements of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municipal court shall require a person who requests expungement under this article to pay a fee in the amount of $30 to defray the cost of notifying state agencies of orders of expungement under this article.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procedures for expunction provided under this article are separate and distinct from the expunction procedures under Chapter 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45.051, Code of Criminal Procedure, is amended by adding Subsections (a-2) and (e-1)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Unless the defendant has previously received a deferral of disposition for an offense under Section 481.121(b)(1) or 481.125(a), Health and Safety Code, committed within the 12-month period preceding the date of the commission of the instant offense, on plea of guilty or nolo contendere for either offense, the judge shall defer further proceedings without entering an adjudication of guilt and place the defendant on probation under the provisions of this article.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court that dismisses a complaint under this article for a person charged with an offense under Section 481.121(b)(1) or 481.125(a), Health and Safety Code, shall notify the defendant in writing of the person's expunction rights under Article 45.02161 and provide the person with a copy of that article.  The dismissed complaint is not a conviction and may not be used against the person for any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(b)(1-a)</w:t>
      </w:r>
      <w:r>
        <w:t xml:space="preserve"> </w:t>
      </w:r>
      <w:r>
        <w:t xml:space="preserve">[</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or</w:t>
      </w:r>
    </w:p>
    <w:p w:rsidR="003F3435" w:rsidRDefault="0032493E">
      <w:pPr>
        <w:spacing w:line="480" w:lineRule="auto"/>
        <w:ind w:firstLine="2160"/>
        <w:jc w:val="both"/>
      </w:pPr>
      <w:r>
        <w:t xml:space="preserve">(D)</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521.371(3),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"Drug offense" has the meaning assigned under 23 U.S.C. Section 159(c) and includes an offense under Section 49.04, 49.07, or 49.08, Penal Code, that is committed as a result of the introduction into the body of any substance the possession of which is prohibited under the Controlled Substances Act.  </w:t>
      </w:r>
      <w:r>
        <w:rPr>
          <w:u w:val="single"/>
        </w:rPr>
        <w:t xml:space="preserve">The term does not include an offense punishable by fine only under the laws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521.371, Transportation Code, as amended by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punishable by fine only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as that law relates to offenses punishable by fine only;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