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and licensing consequences of certain marihuana possession and drug paraphernalia possession offenses;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t xml:space="preserve">(2)</w:t>
      </w:r>
      <w:r xml:space="preserve">
        <w:t> </w:t>
      </w:r>
      <w:r xml:space="preserve">
        <w:t> </w:t>
      </w:r>
      <w:r>
        <w:t xml:space="preserve">a Class B misdemeanor if the amount of marihuana possessed is two ounces or less </w:t>
      </w:r>
      <w:r>
        <w:rPr>
          <w:u w:val="single"/>
        </w:rPr>
        <w:t xml:space="preserve">but more than one o</w:t>
      </w:r>
      <w:r>
        <w:t xml:space="preserve">unce;</w:t>
      </w:r>
    </w:p>
    <w:p w:rsidR="003F3435" w:rsidRDefault="0032493E">
      <w:pPr>
        <w:spacing w:line="480" w:lineRule="auto"/>
        <w:ind w:firstLine="1440"/>
        <w:jc w:val="both"/>
      </w:pPr>
      <w:r>
        <w:t xml:space="preserve">(3)</w:t>
      </w:r>
      <w:r xml:space="preserve">
        <w:t> </w:t>
      </w:r>
      <w:r>
        <w:rPr>
          <w:strike/>
        </w:rPr>
        <w:t xml:space="preserve">[</w:t>
      </w: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(4)</w:t>
      </w:r>
      <w:r xml:space="preserve">
        <w:t> </w:t>
      </w:r>
      <w:r>
        <w:rPr>
          <w:strike/>
        </w:rPr>
        <w:t xml:space="preserve">[</w:t>
      </w: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(5)</w:t>
      </w:r>
      <w:r xml:space="preserve">
        <w:t> </w:t>
      </w:r>
      <w:r>
        <w:rPr>
          <w:strike/>
        </w:rPr>
        <w:t xml:space="preserve">[</w:t>
      </w: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(6)</w:t>
      </w:r>
      <w:r xml:space="preserve">
        <w:t> </w:t>
      </w:r>
      <w:r>
        <w:rPr>
          <w:strike/>
        </w:rPr>
        <w:t xml:space="preserve">[</w:t>
      </w: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(7)</w:t>
      </w:r>
      <w:r xml:space="preserve">
        <w:t> </w:t>
      </w:r>
      <w:r>
        <w:rPr>
          <w:strike/>
        </w:rPr>
        <w:t xml:space="preserve">[</w:t>
      </w: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481.121(b)(6)</w:t>
      </w:r>
      <w:r>
        <w:t xml:space="preserve"> </w:t>
      </w:r>
      <w:r>
        <w:rPr>
          <w:strike/>
        </w:rPr>
        <w:t xml:space="preserve">[</w:t>
      </w:r>
      <w:r>
        <w:t xml:space="preserve">481.121(b)(5)];</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481.121(b)(6) </w:t>
      </w:r>
      <w:r>
        <w:rPr>
          <w:strike/>
        </w:rPr>
        <w:t xml:space="preserve">[</w:t>
      </w:r>
      <w:r>
        <w:t xml:space="preserve">481.121(b)(5)].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481.134(c), (d), (e), and (f),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w:t>
      </w:r>
      <w:r>
        <w:rPr>
          <w:u w:val="single"/>
        </w:rPr>
        <w:t xml:space="preserve">481.121(b)(5), (6), or (7) </w:t>
      </w:r>
      <w:r>
        <w:rPr>
          <w:strike/>
        </w:rPr>
        <w:t xml:space="preserve">[</w:t>
      </w:r>
      <w:r>
        <w:t xml:space="preserve">481.121(b)(4), </w:t>
      </w:r>
      <w:r>
        <w:rPr>
          <w:strike/>
        </w:rPr>
        <w:t xml:space="preserve">(5), or (</w:t>
      </w:r>
      <w:r>
        <w:t xml:space="preserve">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w:t>
      </w:r>
      <w:r>
        <w:rPr>
          <w:u w:val="single"/>
        </w:rPr>
        <w:t xml:space="preserve">481.121(b)(4)</w:t>
      </w:r>
      <w:r>
        <w:t xml:space="preserve"> </w:t>
      </w:r>
      <w:r>
        <w:rPr>
          <w:strike/>
        </w:rPr>
        <w:t xml:space="preserve">[</w:t>
      </w:r>
      <w:r>
        <w:t xml:space="preserve">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w:t>
      </w:r>
      <w:r>
        <w:rPr>
          <w:u w:val="single"/>
        </w:rPr>
        <w:t xml:space="preserve">481.121(b)(3) </w:t>
      </w:r>
      <w:r>
        <w:rPr>
          <w:strike/>
        </w:rPr>
        <w:t xml:space="preserve">[</w:t>
      </w:r>
      <w:r>
        <w:t xml:space="preserve">481.121(b)(2)]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481.121(b)(2)</w:t>
      </w:r>
      <w:r>
        <w:t xml:space="preserve"> </w:t>
      </w:r>
      <w:r>
        <w:rPr>
          <w:strike/>
        </w:rPr>
        <w:t xml:space="preserve">[</w:t>
      </w:r>
      <w:r>
        <w:t xml:space="preserve">481.121(b)(1)]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 Code of Criminal Procedure, is amended by adding Subsections (b-1) and (b-2)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with committing an offense under Section 481.121(b)(1) or 481.125(a), Health and Safety Code, may not arrest the person and shall issue the person a citation as provided by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does not apply to an officer making an arrest for an offense other than an offense under Section 481.121(b)(1) or 481.125(a), Health and Safety Code.</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 or (3) </w:t>
      </w:r>
      <w:r>
        <w:rPr>
          <w:strike/>
        </w:rPr>
        <w:t xml:space="preserve">[</w:t>
      </w:r>
      <w:r>
        <w:t xml:space="preserve">(b)(1) </w:t>
      </w:r>
      <w:r>
        <w:rPr>
          <w:strike/>
        </w:rPr>
        <w:t xml:space="preserve">or (</w:t>
      </w:r>
      <w:r>
        <w:t xml:space="preserve">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w:t>
      </w:r>
      <w:r>
        <w:rPr>
          <w:u w:val="single"/>
        </w:rPr>
        <w:t xml:space="preserve">481.121(b)(4)</w:t>
      </w:r>
      <w:r>
        <w:t xml:space="preserve"> </w:t>
      </w:r>
      <w:r>
        <w:rPr>
          <w:strike/>
        </w:rPr>
        <w:t xml:space="preserve">[</w:t>
      </w:r>
      <w:r>
        <w:t xml:space="preserve">481.121(b)(3)],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w:t>
      </w:r>
      <w:r>
        <w:rPr>
          <w:u w:val="single"/>
        </w:rPr>
        <w:t xml:space="preserve">481.121(b)(4) </w:t>
      </w:r>
      <w:r>
        <w:rPr>
          <w:strike/>
        </w:rPr>
        <w:t xml:space="preserve">[</w:t>
      </w:r>
      <w:r>
        <w:t xml:space="preserve">481.121(b)(3)], Health and Safety Code, possessed more than one pound of marihuana.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This article applies only to a person charged with an offense under Section 481.121(b)(1) or 481.125(a), Health and Safety Code.</w:t>
      </w:r>
    </w:p>
    <w:p w:rsidR="003F3435" w:rsidRDefault="0032493E">
      <w:pPr>
        <w:spacing w:line="480" w:lineRule="auto"/>
        <w:ind w:firstLine="720"/>
        <w:jc w:val="both"/>
      </w:pPr>
      <w:r>
        <w:rPr>
          <w:u w:val="single"/>
        </w:rPr>
        <w:t xml:space="preserve">(b)Records of a person relating to a complaint may be expunged under this article if:</w:t>
      </w:r>
    </w:p>
    <w:p w:rsidR="003F3435" w:rsidRDefault="0032493E">
      <w:pPr>
        <w:spacing w:line="480" w:lineRule="auto"/>
        <w:ind w:firstLine="1440"/>
        <w:jc w:val="both"/>
      </w:pPr>
      <w:r>
        <w:rPr>
          <w:u w:val="single"/>
        </w:rPr>
        <w:t xml:space="preserve">(1)the complaint was dismissed under Article 45.051 or 45.52</w:t>
      </w:r>
      <w:r>
        <w:t xml:space="preserve"> </w:t>
      </w:r>
      <w:r>
        <w:rPr>
          <w:u w:val="single"/>
        </w:rPr>
        <w:t xml:space="preserve">or other law; and</w:t>
      </w:r>
    </w:p>
    <w:p w:rsidR="003F3435" w:rsidRDefault="0032493E">
      <w:pPr>
        <w:spacing w:line="480" w:lineRule="auto"/>
        <w:ind w:firstLine="2160"/>
        <w:jc w:val="both"/>
      </w:pPr>
      <w:r>
        <w:rPr>
          <w:u w:val="single"/>
        </w:rPr>
        <w:t xml:space="preserve">(A)at least 180 days has elapsed from the date of the dismissal; or</w:t>
      </w:r>
    </w:p>
    <w:p w:rsidR="003F3435" w:rsidRDefault="0032493E">
      <w:pPr>
        <w:spacing w:line="480" w:lineRule="auto"/>
        <w:ind w:firstLine="2160"/>
        <w:jc w:val="both"/>
      </w:pPr>
      <w:r>
        <w:rPr>
          <w:u w:val="single"/>
        </w:rPr>
        <w:t xml:space="preserve">(B)at least one year has elapsed from the date of the citation; or</w:t>
      </w:r>
    </w:p>
    <w:p w:rsidR="003F3435" w:rsidRDefault="0032493E">
      <w:pPr>
        <w:spacing w:line="480" w:lineRule="auto"/>
        <w:ind w:firstLine="1440"/>
        <w:jc w:val="both"/>
      </w:pPr>
      <w:r>
        <w:rPr>
          <w:u w:val="single"/>
        </w:rPr>
        <w:t xml:space="preserve">(2)the person was acquitted of the offense.</w:t>
      </w:r>
    </w:p>
    <w:p w:rsidR="003F3435" w:rsidRDefault="0032493E">
      <w:pPr>
        <w:spacing w:line="480" w:lineRule="auto"/>
        <w:ind w:firstLine="720"/>
        <w:jc w:val="both"/>
      </w:pPr>
      <w:r>
        <w:rPr>
          <w:u w:val="single"/>
        </w:rPr>
        <w:t xml:space="preserve">(c)The person must make a written request to have the records expunged. The request must be under oath.</w:t>
      </w:r>
    </w:p>
    <w:p w:rsidR="003F3435" w:rsidRDefault="0032493E">
      <w:pPr>
        <w:spacing w:line="480" w:lineRule="auto"/>
        <w:ind w:firstLine="720"/>
        <w:jc w:val="both"/>
      </w:pPr>
      <w:r>
        <w:rPr>
          <w:u w:val="single"/>
        </w:rPr>
        <w:t xml:space="preserve">(d)The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(e)</w:t>
      </w:r>
      <w:r xml:space="preserve">
        <w:t> </w:t>
      </w:r>
      <w:r xml:space="preserve">
        <w:t>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(f)</w:t>
      </w:r>
      <w:r xml:space="preserve">
        <w:t> </w:t>
      </w:r>
      <w:r xml:space="preserve">
        <w:t>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45.051, Code of Criminal Procedure, is amended by adding Subsections (a-2) and (e-1)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court that dismisses a complaint under this article for a person charged with an offense under Section 481.121(b)(1) or 481.125(a), Health and Safety Code, shall notify the defendant in writing of the person's expunction rights under Article 45.02161 and provide the person with a copy of that article. The dismissed complaint is not a conviction and may not be used against the person for any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placed on community supervision under Chapter 42A, Code of Criminal Procedure, after conviction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(b)(2) </w:t>
      </w:r>
      <w:r>
        <w:rPr>
          <w:strike/>
        </w:rPr>
        <w:t xml:space="preserve">[</w:t>
      </w:r>
      <w:r>
        <w:t xml:space="preserve">(b)(1)];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w:t>
      </w:r>
    </w:p>
    <w:p w:rsidR="003F3435" w:rsidRDefault="0032493E">
      <w:pPr>
        <w:spacing w:line="480" w:lineRule="auto"/>
        <w:ind w:firstLine="2160"/>
        <w:jc w:val="both"/>
      </w:pPr>
      <w:r>
        <w:t xml:space="preserve">(D)</w:t>
      </w:r>
      <w:r xml:space="preserve">
        <w:t> </w:t>
      </w:r>
      <w:r xml:space="preserve">
        <w:t> </w:t>
      </w:r>
      <w:r>
        <w:t xml:space="preserve">Section 43.02, Penal Code; or</w:t>
      </w:r>
    </w:p>
    <w:p w:rsidR="003F3435" w:rsidRDefault="0032493E">
      <w:pPr>
        <w:spacing w:line="480" w:lineRule="auto"/>
        <w:ind w:firstLine="2160"/>
        <w:jc w:val="both"/>
      </w:pPr>
      <w:r>
        <w:t xml:space="preserve">(E)</w:t>
      </w:r>
      <w:r xml:space="preserve">
        <w:t> </w:t>
      </w:r>
      <w:r xml:space="preserve">
        <w:t> </w:t>
      </w:r>
      <w:r>
        <w:t xml:space="preserve">Section 43.03(a)(2), Penal Code, if the offense is punishable as a Class A misdemeanor; and</w:t>
      </w:r>
    </w:p>
    <w:p w:rsidR="003F3435" w:rsidRDefault="0032493E">
      <w:pPr>
        <w:spacing w:line="480" w:lineRule="auto"/>
        <w:ind w:firstLine="1440"/>
        <w:jc w:val="both"/>
      </w:pPr>
      <w:r>
        <w:t xml:space="preserve">(2)</w:t>
      </w:r>
      <w:r xml:space="preserve">
        <w:t> </w:t>
      </w:r>
      <w:r xml:space="preserve">
        <w:t> </w:t>
      </w:r>
      <w:r>
        <w:t xml:space="preserve">with respect to whom the conviction is subsequently set aside by the court under Article 42A.701, Code of Criminal Procedure.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521.371(3),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"Drug offense" has the meaning assigned under 23 U.S.C. Section 159(c) and includes an offense under Section 49.04, 49.07, or 49.08, Penal Code, that is committed as a result of the introduction into the body of any substance the possession of which is prohibited under the Controlled Substances Act.  </w:t>
      </w:r>
      <w:r>
        <w:rPr>
          <w:u w:val="single"/>
        </w:rPr>
        <w:t xml:space="preserve">The term does not include an offense punishable by fine only under the laws of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521.371, Transportation Code, as amended by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