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87R2098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physician's license to an applicant licensed as a physician in another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155, Occupations Code, is amended by adding Section 155.012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LICENSE TO PHYSICIAN LICENSED IN ANOTHER STATE.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the board shall issue an unrestricted license under this chapter to an applicant who is licensed in good standing as a physician in another state and who satisfies the requirements of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issue a license under this section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had a medical license suspended or revoked by another state or a Canadian province;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medical license issued by another state or a Canadian province that is subject to a restriction, disciplinary order, or probationary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applicant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passed a national or other examination recognized by the board relating to the practice of medicine within the number of attempts allowed under Section 155.056 or 155.0561, as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information to enable the board to conduct a criminal background check as required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applicant for a physician license who submits an application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