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87R1847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days and hours for voting during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Voting shall be conducted in accordance with this subsection in those elections in a county with a population under </w:t>
      </w:r>
      <w:r>
        <w:rPr>
          <w:u w:val="single"/>
        </w:rPr>
        <w:t xml:space="preserve">50,000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50,000</w:t>
      </w:r>
      <w:r>
        <w:t xml:space="preserve"> [</w:t>
      </w:r>
      <w:r>
        <w:rPr>
          <w:strike/>
        </w:rPr>
        <w:t xml:space="preserve">100,000</w:t>
      </w:r>
      <w:r>
        <w:t xml:space="preserve">]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w:t>
      </w:r>
      <w:r>
        <w:rPr>
          <w:u w:val="single"/>
        </w:rPr>
        <w:t xml:space="preserve">50,000</w:t>
      </w:r>
      <w:r>
        <w:t xml:space="preserve"> [</w:t>
      </w:r>
      <w:r>
        <w:rPr>
          <w:strike/>
        </w:rPr>
        <w:t xml:space="preserve">100,000</w:t>
      </w:r>
      <w:r>
        <w:t xml:space="preserve">] on receipt of a written request for those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85.007</w:t>
      </w:r>
      <w:r>
        <w:t xml:space="preserve">].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