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certain information to criminal defendants before a plea is entered or before the defendant elects to have punishment assessed by a jury.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26.13, Code of Criminal Procedure,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Before accepting a plea of guilty or a plea of nolo contendere for an offense punishable as a felony, the court shall admonish the defendant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applicable provisions governing whether the judge or a jury will assess punishment in the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range of punishments the judge or jury is authorized to consider;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of judge or jury sentencing on the eligibility of the defendant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judge-ordered community supervision under Article 42A.053;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jury-recommended community supervision under Article 42A.055;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deferred adjudication community supervision under Subchapter C, Chapter 42A.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28, Code of Criminal Procedure, is amended by adding Article 28.15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28.15.</w:t>
      </w:r>
      <w:r>
        <w:rPr>
          <w:u w:val="single"/>
        </w:rPr>
        <w:t xml:space="preserve"> </w:t>
      </w:r>
      <w:r>
        <w:rPr>
          <w:u w:val="single"/>
        </w:rPr>
        <w:t xml:space="preserve"> </w:t>
      </w:r>
      <w:r>
        <w:rPr>
          <w:u w:val="single"/>
        </w:rPr>
        <w:t xml:space="preserve">JURY SENTENCING.  Before a defendant who is charged with an offense punishable as a felony files a sworn motion for community supervision as provided by Article 42A.055(b) or elects in writing to have punishment assessed by a jury, the court shall admonish the defendant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range of punishments the judge or jury is authorized to consider;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 of judge or jury sentencing on the eligibility of the defendant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judge-ordered community supervision under Article 42A.053;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jury-recommended community supervision under Article 42A.055;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deferred adjudication community supervision under Subchapter C, Chapter 42A.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plea of guilty or nolo contendere entered or a motion or election for a jury to assess punishment made on or after the effective date of this Act, regardless of whether the offense with reference to which the plea is entered or motion or election is made is committed before,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