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deduction of a fee from certain funds withdrawn from a court registry in certain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w:t>
      </w:r>
      <w:r xml:space="preserve">
        <w:t> </w:t>
      </w:r>
      <w:r xml:space="preserve">
        <w:t> </w:t>
      </w:r>
      <w:r>
        <w:t xml:space="preserve">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w:t>
      </w:r>
      <w:r xml:space="preserve">
        <w:t> </w:t>
      </w:r>
      <w:r xml:space="preserve">
        <w:t> </w:t>
      </w:r>
      <w:r>
        <w:t xml:space="preserve">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withdrawal of funds from a court registry under Section 117.055, Local Government Code, as amended by this Act, made on or after the effective date of this Act. A withdrawal of funds from a court registry made before the effective date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