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limits in a health care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74.301, Civil Practice and Remedies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there is an increase or decrease in the consumer price index with respect to the amount of that index on September 1, 2003, the liability limits prescribed by this section shall be increased or decreased, as applicable, by a sum equal to the amount of such limit multiplied by the percentage increase or decrease in the consumer price index, as published by the Bureau of Labor Statistics of the United States Department of Labor, that measures the average changes in prices of goods and services purchased by urban wage earners and clerical workers' families (CPI-W:  Seasonally Adjusted U.S. City Average--All Items), between September 1, 2003, and the time at which damages subject to such limits are awarded by final judgment or settlement.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74.302, Civil Practice and Remedies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When there is an increase or decrease in the consumer price index with respect to the amount of that index on September 1, 2003, the liability limits and financial responsibility amounts prescribed by this section shall be increased or decreased, as applicable, by a sum equal to the amount of such limit multiplied by the percentage increase or decrease in the consumer price index, as published by the Bureau of Labor Statistics of the United States Department of Labor, that measures the average changes in prices of goods and services purchased by urban wage earners and clerical workers' families (CPI-W:  Seasonally Adjusted U.S. City Average--All Items), between September 1, 2003, and the time at which damages subject to such limits are awarded by final judgment or settlement.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74.301 and 74.302, Civil Practice and Remedies Code, as amended by this Act, apply only to a health care liability claim that accrues on or after the effective date of this Act.  A health care liability claim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