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510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Medicaid buy-in program for Medicaid recipients with increased household income from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531.024442.</w:t>
      </w:r>
      <w:r>
        <w:rPr>
          <w:u w:val="single"/>
        </w:rPr>
        <w:t xml:space="preserve"> </w:t>
      </w:r>
      <w:r>
        <w:rPr>
          <w:u w:val="single"/>
        </w:rPr>
        <w:t xml:space="preserve"> </w:t>
      </w:r>
      <w:r>
        <w:rPr>
          <w:u w:val="single"/>
        </w:rPr>
        <w:t xml:space="preserve">MEDICAID BUY-IN PROGRAM FOR CERTAIN PERSONS WITH INCREASED HOUSEHOLD INCOME FROM EMPLOYMENT.  (a)  The commission shall operate a Medicaid buy-in program for Medicaid recipients: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are not eligible for a Medicaid buy-in program established under Section 531.02444;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eligibility for Medicaid is otherwise being terminated solely because of an increase in household income received from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under this section must be substantively identical to the Medicaid buy-in programs for persons with disabilities established under Section 531.02444, except to the extent that programmatic differences are appropriate because of the populations served by the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for participation in the program under this section that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requirements, including household income limits for participation;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requirements for program participants to pay premiums or cost-sharing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executive commissioner of the Health and Human Services Commission shall adopt the rules required by Section 531.024442, Government Code, as added by this Act, and the commission shall implement the program required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