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512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Medicaid buy-in program for employees of small businesses.</w:t>
      </w:r>
    </w:p>
    <w:p w:rsidR="003F3435" w:rsidRDefault="0032493E">
      <w:pPr>
        <w:spacing w:line="480" w:lineRule="auto"/>
        <w:ind w:firstLine="720"/>
        <w:jc w:val="both"/>
      </w:pPr>
      <w:r>
        <w:t xml:space="preserve">BE IT ENACTED BY THE LEGISLATURE OF THE STATE OF TEXAS: </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531.024442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531.024442.</w:t>
      </w:r>
      <w:r>
        <w:rPr>
          <w:u w:val="single"/>
        </w:rPr>
        <w:t xml:space="preserve"> </w:t>
      </w:r>
      <w:r>
        <w:rPr>
          <w:u w:val="single"/>
        </w:rPr>
        <w:t xml:space="preserve"> </w:t>
      </w:r>
      <w:r>
        <w:rPr>
          <w:u w:val="single"/>
        </w:rPr>
        <w:t xml:space="preserve">MEDICAID BUY-IN PROGRAM FOR EMPLOYEES OF SMALL BUSINESSES.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"Program participant" means an employee of a small business who receives health care services under Medicaid through the buy-in program established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 business" means a business with an annual gross revenue of $850,000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operate a Medicaid buy-in program under which a person who is an employee of a small business may receive health care services under Medicaid. </w:t>
      </w:r>
      <w:r>
        <w:rPr>
          <w:u w:val="single"/>
        </w:rPr>
        <w:t xml:space="preserve"> </w:t>
      </w:r>
      <w:r>
        <w:rPr>
          <w:u w:val="single"/>
        </w:rPr>
        <w:t xml:space="preserve">The executive commissioner shall adopt rules for the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eligibility requirements for participation in the program, including household income limits, that ensure receipt of federal matching money for providing health care services under Medicaid to a program participant;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financial participation by the program participant, including a requirement that the program participant pay, according to a sliding scale based on household income determined in accordance with commission rules, a portion of any premiums imposed or cost-sharing payments required under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financial participation by a small business that employs a program participant, including a requirement that the small business pay a portion of any premiums imposed or cost-sharing payments required under the program, in amounts determined in accordance with commission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ensure that the rules adopted under Subsection (b) regarding the financial participation required of a small business are not cost prohibitive to participation by a small business in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program under this section must be substantively identical to the Medicaid buy-in programs for persons with disabilities established under Section 531.02444, except to the extent that programmatic differences are appropriate because of the populations served by the programs.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prepare and make available to small businesses information concerning the availability of and application process for the program under this section. </w:t>
      </w:r>
      <w:r>
        <w:rPr>
          <w:u w:val="single"/>
        </w:rPr>
        <w:t xml:space="preserve"> </w:t>
      </w:r>
      <w:r>
        <w:rPr>
          <w:u w:val="single"/>
        </w:rPr>
        <w:t xml:space="preserve">A small business may provide that information to its employees and prospective employees.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executive commissioner of the Health and Human Services Commission shall adopt the rules required by Section 531.024442, Government Code, as added by this Act, and the commission shall implement the program required by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